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26645B" w:rsidRPr="00BB2AA3" w:rsidP="00BB2AA3" w14:paraId="04ED09FB" w14:textId="0D6DF33F">
      <w:pPr>
        <w:rPr>
          <w:rFonts w:ascii="Arial" w:hAnsi="Arial" w:cs="Arial"/>
          <w:color w:val="006600"/>
          <w:sz w:val="28"/>
        </w:rPr>
      </w:pPr>
      <w:r w:rsidRPr="00BB2AA3">
        <w:rPr>
          <w:rFonts w:ascii="Arial" w:hAnsi="Arial" w:cs="Arial"/>
          <w:color w:val="006600"/>
          <w:sz w:val="28"/>
        </w:rPr>
        <w:t>THE BOOKKEEPING CYCLE</w:t>
      </w:r>
    </w:p>
    <w:p w:rsidR="00DC647F" w:rsidRPr="00BB2AA3" w:rsidP="00BB2AA3" w14:paraId="69DBAD0D" w14:textId="679E065F">
      <w:pPr>
        <w:rPr>
          <w:rFonts w:ascii="Arial" w:hAnsi="Arial" w:cs="Arial"/>
          <w:sz w:val="20"/>
          <w:lang w:val="en-GB"/>
        </w:rPr>
      </w:pPr>
      <w:r w:rsidRPr="00BB2AA3">
        <w:rPr>
          <w:rFonts w:ascii="Arial" w:hAnsi="Arial" w:cs="Arial"/>
          <w:sz w:val="20"/>
          <w:lang w:val="en-GB"/>
        </w:rPr>
        <w:t>An important area of understand</w:t>
      </w:r>
      <w:r w:rsidRPr="00BB2AA3" w:rsidR="004E5768">
        <w:rPr>
          <w:rFonts w:ascii="Arial" w:hAnsi="Arial" w:cs="Arial"/>
          <w:sz w:val="20"/>
          <w:lang w:val="en-GB"/>
        </w:rPr>
        <w:t>ing</w:t>
      </w:r>
      <w:r w:rsidRPr="00BB2AA3">
        <w:rPr>
          <w:rFonts w:ascii="Arial" w:hAnsi="Arial" w:cs="Arial"/>
          <w:sz w:val="20"/>
          <w:lang w:val="en-GB"/>
        </w:rPr>
        <w:t xml:space="preserve"> for any </w:t>
      </w:r>
      <w:r w:rsidR="00D9051B">
        <w:rPr>
          <w:rFonts w:ascii="Arial" w:hAnsi="Arial" w:cs="Arial"/>
          <w:sz w:val="20"/>
          <w:lang w:val="en-GB"/>
        </w:rPr>
        <w:t xml:space="preserve">new </w:t>
      </w:r>
      <w:r w:rsidRPr="00BB2AA3">
        <w:rPr>
          <w:rFonts w:ascii="Arial" w:hAnsi="Arial" w:cs="Arial"/>
          <w:sz w:val="20"/>
          <w:lang w:val="en-GB"/>
        </w:rPr>
        <w:t>bookkeeper is the bookkeeping cycle</w:t>
      </w:r>
      <w:r w:rsidR="00D9051B">
        <w:rPr>
          <w:rFonts w:ascii="Arial" w:hAnsi="Arial" w:cs="Arial"/>
          <w:sz w:val="20"/>
          <w:lang w:val="en-GB"/>
        </w:rPr>
        <w:t>, which describes the standard order of bookkeeping processes.</w:t>
      </w:r>
      <w:r w:rsidR="00E406C5">
        <w:rPr>
          <w:rFonts w:ascii="Arial" w:hAnsi="Arial" w:cs="Arial"/>
          <w:sz w:val="20"/>
          <w:lang w:val="en-GB"/>
        </w:rPr>
        <w:t xml:space="preserve"> The simplest bookkeeping cycle involves recording transactions, allocating transactions to the correct general ledger accounts</w:t>
      </w:r>
      <w:r w:rsidR="00A23F9E">
        <w:rPr>
          <w:rFonts w:ascii="Arial" w:hAnsi="Arial" w:cs="Arial"/>
          <w:sz w:val="20"/>
          <w:lang w:val="en-GB"/>
        </w:rPr>
        <w:t>,</w:t>
      </w:r>
      <w:r w:rsidR="00E406C5">
        <w:rPr>
          <w:rFonts w:ascii="Arial" w:hAnsi="Arial" w:cs="Arial"/>
          <w:sz w:val="20"/>
          <w:lang w:val="en-GB"/>
        </w:rPr>
        <w:t xml:space="preserve"> and summarising the financial data into reports.</w:t>
      </w:r>
    </w:p>
    <w:p w:rsidR="00A5738A" w:rsidRPr="00BB2AA3" w:rsidP="00BB2AA3" w14:paraId="73C57295" w14:textId="3CC304B2">
      <w:pPr>
        <w:rPr>
          <w:rFonts w:ascii="Arial" w:hAnsi="Arial" w:cs="Arial"/>
          <w:sz w:val="20"/>
          <w:lang w:val="en-GB"/>
        </w:rPr>
      </w:pPr>
      <w:r w:rsidRPr="00BB2AA3">
        <w:rPr>
          <w:rFonts w:ascii="Arial" w:hAnsi="Arial" w:cs="Arial"/>
          <w:noProof/>
          <w:sz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42545</wp:posOffset>
                </wp:positionV>
                <wp:extent cx="488950" cy="742950"/>
                <wp:effectExtent l="19050" t="0" r="25400" b="38100"/>
                <wp:wrapNone/>
                <wp:docPr id="1" name="Arrow: Down 1"/>
                <wp:cNvGraphicFramePr/>
                <a:graphic xmlns:a="http://schemas.openxmlformats.org/drawingml/2006/main">
                  <a:graphicData uri="http://schemas.microsoft.com/office/word/2010/wordprocessingShape">
                    <wps:wsp xmlns:wps="http://schemas.microsoft.com/office/word/2010/wordprocessingShape">
                      <wps:cNvSpPr/>
                      <wps:spPr>
                        <a:xfrm>
                          <a:off x="0" y="0"/>
                          <a:ext cx="488950" cy="742950"/>
                        </a:xfrm>
                        <a:prstGeom prst="downArrow">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5" type="#_x0000_t67" style="width:38.5pt;height:58.5pt;margin-top:3.35pt;margin-left:2.5pt;mso-wrap-distance-bottom:0;mso-wrap-distance-left:9pt;mso-wrap-distance-right:9pt;mso-wrap-distance-top:0;mso-wrap-style:square;position:absolute;visibility:visible;v-text-anchor:middle;z-index:251659264" adj="14492" fillcolor="#e6f1d8" strokecolor="#86bb40" strokeweight="1pt"/>
            </w:pict>
          </mc:Fallback>
        </mc:AlternateContent>
      </w:r>
    </w:p>
    <w:p w:rsidR="00A5738A" w:rsidRPr="00BB2AA3" w:rsidP="00BB2AA3" w14:paraId="411A65E5" w14:textId="6739D682">
      <w:pPr>
        <w:rPr>
          <w:rFonts w:ascii="Arial" w:hAnsi="Arial" w:cs="Arial"/>
          <w:sz w:val="20"/>
          <w:lang w:val="en-GB"/>
        </w:rPr>
      </w:pPr>
      <w:r w:rsidRPr="00BB2AA3">
        <w:rPr>
          <w:rFonts w:ascii="Arial" w:hAnsi="Arial" w:cs="Arial"/>
          <w:sz w:val="20"/>
          <w:lang w:val="en-GB"/>
        </w:rPr>
        <w:tab/>
      </w:r>
      <w:r w:rsidRPr="00BB2AA3">
        <w:rPr>
          <w:rFonts w:ascii="Arial" w:hAnsi="Arial" w:cs="Arial"/>
          <w:sz w:val="20"/>
          <w:lang w:val="en-GB"/>
        </w:rPr>
        <w:tab/>
        <w:t>Recording</w:t>
      </w:r>
    </w:p>
    <w:p w:rsidR="00A5738A" w:rsidRPr="00BB2AA3" w:rsidP="00BB2AA3" w14:paraId="006F442E" w14:textId="3877E111">
      <w:pPr>
        <w:rPr>
          <w:rFonts w:ascii="Arial" w:hAnsi="Arial" w:cs="Arial"/>
          <w:sz w:val="20"/>
          <w:lang w:val="en-GB"/>
        </w:rPr>
      </w:pPr>
    </w:p>
    <w:p w:rsidR="00A5738A" w:rsidRPr="00BB2AA3" w:rsidP="00BB2AA3" w14:paraId="5FC5C084" w14:textId="7C58662A">
      <w:pPr>
        <w:rPr>
          <w:rFonts w:ascii="Arial" w:hAnsi="Arial" w:cs="Arial"/>
          <w:sz w:val="20"/>
          <w:lang w:val="en-GB"/>
        </w:rPr>
      </w:pPr>
      <w:r w:rsidRPr="00BB2AA3">
        <w:rPr>
          <w:rFonts w:ascii="Arial" w:hAnsi="Arial" w:cs="Arial"/>
          <w:noProof/>
          <w:sz w:val="20"/>
          <w:lang w:val="en-AU" w:eastAsia="en-A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205105</wp:posOffset>
                </wp:positionV>
                <wp:extent cx="488950" cy="742950"/>
                <wp:effectExtent l="19050" t="0" r="25400" b="38100"/>
                <wp:wrapNone/>
                <wp:docPr id="5" name="Arrow: Down 5"/>
                <wp:cNvGraphicFramePr/>
                <a:graphic xmlns:a="http://schemas.openxmlformats.org/drawingml/2006/main">
                  <a:graphicData uri="http://schemas.microsoft.com/office/word/2010/wordprocessingShape">
                    <wps:wsp xmlns:wps="http://schemas.microsoft.com/office/word/2010/wordprocessingShape">
                      <wps:cNvSpPr/>
                      <wps:spPr>
                        <a:xfrm>
                          <a:off x="0" y="0"/>
                          <a:ext cx="488950" cy="742950"/>
                        </a:xfrm>
                        <a:prstGeom prst="downArrow">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5" o:spid="_x0000_s1026" type="#_x0000_t67" style="width:38.5pt;height:58.5pt;margin-top:16.15pt;margin-left:0;mso-position-horizontal:left;mso-position-horizontal-relative:margin;mso-wrap-distance-bottom:0;mso-wrap-distance-left:9pt;mso-wrap-distance-right:9pt;mso-wrap-distance-top:0;mso-wrap-style:square;position:absolute;visibility:visible;v-text-anchor:middle;z-index:251661312" adj="14492" fillcolor="#e6f1d8" strokecolor="#86bb40" strokeweight="1pt">
                <w10:wrap anchorx="margin"/>
              </v:shape>
            </w:pict>
          </mc:Fallback>
        </mc:AlternateContent>
      </w:r>
    </w:p>
    <w:p w:rsidR="00A5738A" w:rsidRPr="00BB2AA3" w:rsidP="00BB2AA3" w14:paraId="6A020A36" w14:textId="60D13D33">
      <w:pPr>
        <w:rPr>
          <w:rFonts w:ascii="Arial" w:hAnsi="Arial" w:cs="Arial"/>
          <w:sz w:val="20"/>
          <w:lang w:val="en-GB"/>
        </w:rPr>
      </w:pPr>
      <w:r w:rsidRPr="00BB2AA3">
        <w:rPr>
          <w:rFonts w:ascii="Arial" w:hAnsi="Arial" w:cs="Arial"/>
          <w:noProof/>
          <w:sz w:val="20"/>
          <w:lang w:val="en-AU" w:eastAsia="en-AU"/>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1049655</wp:posOffset>
                </wp:positionV>
                <wp:extent cx="488950" cy="742950"/>
                <wp:effectExtent l="19050" t="0" r="25400" b="38100"/>
                <wp:wrapNone/>
                <wp:docPr id="6" name="Arrow: Down 6"/>
                <wp:cNvGraphicFramePr/>
                <a:graphic xmlns:a="http://schemas.openxmlformats.org/drawingml/2006/main">
                  <a:graphicData uri="http://schemas.microsoft.com/office/word/2010/wordprocessingShape">
                    <wps:wsp xmlns:wps="http://schemas.microsoft.com/office/word/2010/wordprocessingShape">
                      <wps:cNvSpPr/>
                      <wps:spPr>
                        <a:xfrm>
                          <a:off x="0" y="0"/>
                          <a:ext cx="488950" cy="742950"/>
                        </a:xfrm>
                        <a:prstGeom prst="downArrow">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6" o:spid="_x0000_s1027" type="#_x0000_t67" style="width:38.5pt;height:58.5pt;margin-top:82.65pt;margin-left:0;mso-position-horizontal:left;mso-position-horizontal-relative:margin;mso-wrap-distance-bottom:0;mso-wrap-distance-left:9pt;mso-wrap-distance-right:9pt;mso-wrap-distance-top:0;mso-wrap-style:square;position:absolute;visibility:visible;v-text-anchor:middle;z-index:251663360" adj="14492" fillcolor="#e6f1d8" strokecolor="#86bb40" strokeweight="1pt">
                <w10:wrap anchorx="margin"/>
              </v:shape>
            </w:pict>
          </mc:Fallback>
        </mc:AlternateContent>
      </w:r>
      <w:r w:rsidRPr="00BB2AA3">
        <w:rPr>
          <w:rFonts w:ascii="Arial" w:hAnsi="Arial" w:cs="Arial"/>
          <w:sz w:val="20"/>
          <w:lang w:val="en-GB"/>
        </w:rPr>
        <w:tab/>
      </w:r>
      <w:r w:rsidRPr="00BB2AA3">
        <w:rPr>
          <w:rFonts w:ascii="Arial" w:hAnsi="Arial" w:cs="Arial"/>
          <w:sz w:val="20"/>
          <w:lang w:val="en-GB"/>
        </w:rPr>
        <w:tab/>
      </w:r>
    </w:p>
    <w:p w:rsidR="00A5738A" w:rsidRPr="00BB2AA3" w:rsidP="00BB2AA3" w14:textId="60D13D33">
      <w:pPr>
        <w:rPr>
          <w:rFonts w:ascii="Arial" w:hAnsi="Arial" w:cs="Arial"/>
          <w:sz w:val="20"/>
          <w:lang w:val="en-GB"/>
        </w:rPr>
      </w:pPr>
      <w:r w:rsidRPr="00BB2AA3">
        <w:rPr>
          <w:rFonts w:ascii="Arial" w:hAnsi="Arial" w:cs="Arial"/>
          <w:sz w:val="20"/>
          <w:lang w:val="en-GB"/>
        </w:rPr>
        <w:tab/>
      </w:r>
      <w:r w:rsidRPr="00BB2AA3">
        <w:rPr>
          <w:rFonts w:ascii="Arial" w:hAnsi="Arial" w:cs="Arial"/>
          <w:sz w:val="20"/>
          <w:lang w:val="en-GB"/>
        </w:rPr>
        <w:tab/>
        <w:t>Classifying</w:t>
      </w:r>
    </w:p>
    <w:p w:rsidR="00A5738A" w:rsidRPr="00BB2AA3" w:rsidP="00BB2AA3" w14:paraId="5625B00F" w14:textId="7EE003D1">
      <w:pPr>
        <w:rPr>
          <w:rFonts w:ascii="Arial" w:hAnsi="Arial" w:cs="Arial"/>
          <w:sz w:val="20"/>
          <w:lang w:val="en-GB"/>
        </w:rPr>
      </w:pPr>
    </w:p>
    <w:p w:rsidR="00A5738A" w:rsidRPr="00BB2AA3" w:rsidP="00BB2AA3" w14:paraId="72FF56FE" w14:textId="48B94808">
      <w:pPr>
        <w:rPr>
          <w:rFonts w:ascii="Arial" w:hAnsi="Arial" w:cs="Arial"/>
          <w:sz w:val="20"/>
          <w:lang w:val="en-GB"/>
        </w:rPr>
      </w:pPr>
    </w:p>
    <w:p w:rsidR="00A5738A" w:rsidRPr="00BB2AA3" w:rsidP="00BB2AA3" w14:paraId="070D3B31" w14:textId="0D0A70DF">
      <w:pPr>
        <w:rPr>
          <w:rFonts w:ascii="Arial" w:hAnsi="Arial" w:cs="Arial"/>
          <w:sz w:val="20"/>
          <w:lang w:val="en-GB"/>
        </w:rPr>
      </w:pPr>
    </w:p>
    <w:p w:rsidR="00A5738A" w:rsidRPr="00BB2AA3" w:rsidP="00BB2AA3" w14:textId="0D0A70DF">
      <w:pPr>
        <w:rPr>
          <w:rFonts w:ascii="Arial" w:hAnsi="Arial" w:cs="Arial"/>
          <w:sz w:val="20"/>
          <w:lang w:val="en-GB"/>
        </w:rPr>
      </w:pPr>
      <w:r w:rsidRPr="00BB2AA3">
        <w:rPr>
          <w:rFonts w:ascii="Arial" w:hAnsi="Arial" w:cs="Arial"/>
          <w:sz w:val="20"/>
          <w:lang w:val="en-GB"/>
        </w:rPr>
        <w:tab/>
      </w:r>
      <w:r w:rsidRPr="00BB2AA3">
        <w:rPr>
          <w:rFonts w:ascii="Arial" w:hAnsi="Arial" w:cs="Arial"/>
          <w:sz w:val="20"/>
          <w:lang w:val="en-GB"/>
        </w:rPr>
        <w:tab/>
        <w:t>Summarising</w:t>
      </w:r>
    </w:p>
    <w:p w:rsidR="00A5738A" w:rsidRPr="00BB2AA3" w:rsidP="00BB2AA3" w14:paraId="6498D621" w14:textId="565BA164">
      <w:pPr>
        <w:rPr>
          <w:rFonts w:ascii="Arial" w:hAnsi="Arial" w:cs="Arial"/>
          <w:sz w:val="20"/>
          <w:lang w:val="en-GB"/>
        </w:rPr>
      </w:pPr>
    </w:p>
    <w:p w:rsidR="00386C75" w:rsidP="00BB2AA3" w14:paraId="78B0B09B" w14:textId="4907F1F3">
      <w:pPr>
        <w:rPr>
          <w:rFonts w:ascii="Arial" w:hAnsi="Arial" w:cs="Arial"/>
          <w:color w:val="006600"/>
          <w:sz w:val="24"/>
        </w:rPr>
      </w:pPr>
    </w:p>
    <w:p w:rsidR="00386C75" w:rsidP="00BB2AA3" w14:textId="4907F1F3">
      <w:pPr>
        <w:rPr>
          <w:rFonts w:ascii="Arial" w:hAnsi="Arial" w:cs="Arial"/>
          <w:color w:val="006600"/>
          <w:sz w:val="24"/>
        </w:rPr>
      </w:pPr>
    </w:p>
    <w:p w:rsidR="00386C75" w:rsidP="00386C75" w14:paraId="4EA2C44B" w14:textId="5B95CF36">
      <w:pPr>
        <w:rPr>
          <w:rFonts w:ascii="Arial" w:hAnsi="Arial" w:cs="Arial"/>
          <w:sz w:val="20"/>
          <w:lang w:val="en-GB"/>
        </w:rPr>
      </w:pPr>
      <w:r>
        <w:rPr>
          <w:rFonts w:ascii="Arial" w:hAnsi="Arial" w:cs="Arial"/>
          <w:sz w:val="20"/>
          <w:lang w:val="en-GB"/>
        </w:rPr>
        <w:t xml:space="preserve">The bookkeeping process repeatedly cycles through recording, classifying and summarising, according to the </w:t>
      </w:r>
      <w:r w:rsidR="00D9051B">
        <w:rPr>
          <w:rFonts w:ascii="Arial" w:hAnsi="Arial" w:cs="Arial"/>
          <w:sz w:val="20"/>
          <w:lang w:val="en-GB"/>
        </w:rPr>
        <w:t>tasks and deadlines</w:t>
      </w:r>
      <w:r>
        <w:rPr>
          <w:rFonts w:ascii="Arial" w:hAnsi="Arial" w:cs="Arial"/>
          <w:sz w:val="20"/>
          <w:lang w:val="en-GB"/>
        </w:rPr>
        <w:t xml:space="preserve"> required by the business. Some cycles are daily, others weekly, and there will generally be monthly, </w:t>
      </w:r>
      <w:r>
        <w:rPr>
          <w:rFonts w:ascii="Arial" w:hAnsi="Arial" w:cs="Arial"/>
          <w:sz w:val="20"/>
          <w:lang w:val="en-GB"/>
        </w:rPr>
        <w:t>quarterly</w:t>
      </w:r>
      <w:r>
        <w:rPr>
          <w:rFonts w:ascii="Arial" w:hAnsi="Arial" w:cs="Arial"/>
          <w:sz w:val="20"/>
          <w:lang w:val="en-GB"/>
        </w:rPr>
        <w:t xml:space="preserve"> and annual cycles.</w:t>
      </w:r>
    </w:p>
    <w:p w:rsidR="00D9051B" w:rsidP="00386C75" w14:paraId="01CDA134" w14:textId="2FEEB771">
      <w:pPr>
        <w:rPr>
          <w:rFonts w:ascii="Arial" w:hAnsi="Arial" w:cs="Arial"/>
          <w:sz w:val="20"/>
          <w:lang w:val="en-GB"/>
        </w:rPr>
      </w:pPr>
      <w:r>
        <w:rPr>
          <w:rFonts w:ascii="Arial" w:hAnsi="Arial" w:cs="Arial"/>
          <w:sz w:val="20"/>
          <w:lang w:val="en-GB"/>
        </w:rPr>
        <w:t>Different clients will require different cycles</w:t>
      </w:r>
      <w:r w:rsidR="00E406C5">
        <w:rPr>
          <w:rFonts w:ascii="Arial" w:hAnsi="Arial" w:cs="Arial"/>
          <w:sz w:val="20"/>
          <w:lang w:val="en-GB"/>
        </w:rPr>
        <w:t xml:space="preserve"> and procedures</w:t>
      </w:r>
      <w:r>
        <w:rPr>
          <w:rFonts w:ascii="Arial" w:hAnsi="Arial" w:cs="Arial"/>
          <w:sz w:val="20"/>
          <w:lang w:val="en-GB"/>
        </w:rPr>
        <w:t>. An essential adjunct to the bookkeeping cycle is your workflow process and client task management. When starting out, this may be achieved with simple spreadsheets; however, once you have a few clients, it will be more efficient to use practice management tools and technology to make workflow management efficient and well-organised. You will need to easily keep track of all the tasks associated with different client cycles and deadlines.</w:t>
      </w:r>
    </w:p>
    <w:p w:rsidR="00386C75" w:rsidRPr="00FC6556" w:rsidP="00BB2AA3" w14:paraId="5E10E401" w14:textId="60C7CADD">
      <w:pPr>
        <w:rPr>
          <w:rFonts w:ascii="Arial" w:hAnsi="Arial" w:cs="Arial"/>
          <w:sz w:val="20"/>
          <w:lang w:val="en-GB"/>
        </w:rPr>
      </w:pPr>
      <w:r>
        <w:rPr>
          <w:rFonts w:ascii="Arial" w:hAnsi="Arial" w:cs="Arial"/>
          <w:sz w:val="20"/>
          <w:lang w:val="en-GB"/>
        </w:rPr>
        <w:t xml:space="preserve">Beyond the bookkeeping cycle </w:t>
      </w:r>
      <w:r w:rsidR="00E57427">
        <w:rPr>
          <w:rFonts w:ascii="Arial" w:hAnsi="Arial" w:cs="Arial"/>
          <w:sz w:val="20"/>
          <w:lang w:val="en-GB"/>
        </w:rPr>
        <w:t xml:space="preserve">is </w:t>
      </w:r>
      <w:r w:rsidR="00D9051B">
        <w:rPr>
          <w:rFonts w:ascii="Arial" w:hAnsi="Arial" w:cs="Arial"/>
          <w:sz w:val="20"/>
          <w:lang w:val="en-GB"/>
        </w:rPr>
        <w:t xml:space="preserve">BAS services and </w:t>
      </w:r>
      <w:r w:rsidR="00E57427">
        <w:rPr>
          <w:rFonts w:ascii="Arial" w:hAnsi="Arial" w:cs="Arial"/>
          <w:sz w:val="20"/>
          <w:lang w:val="en-GB"/>
        </w:rPr>
        <w:t xml:space="preserve">advisory work. </w:t>
      </w:r>
      <w:r w:rsidR="00D9051B">
        <w:rPr>
          <w:rFonts w:ascii="Arial" w:hAnsi="Arial" w:cs="Arial"/>
          <w:sz w:val="20"/>
          <w:lang w:val="en-GB"/>
        </w:rPr>
        <w:t>These are</w:t>
      </w:r>
      <w:r w:rsidR="00E57427">
        <w:rPr>
          <w:rFonts w:ascii="Arial" w:hAnsi="Arial" w:cs="Arial"/>
          <w:sz w:val="20"/>
          <w:lang w:val="en-GB"/>
        </w:rPr>
        <w:t xml:space="preserve"> area</w:t>
      </w:r>
      <w:r w:rsidR="00D9051B">
        <w:rPr>
          <w:rFonts w:ascii="Arial" w:hAnsi="Arial" w:cs="Arial"/>
          <w:sz w:val="20"/>
          <w:lang w:val="en-GB"/>
        </w:rPr>
        <w:t>s</w:t>
      </w:r>
      <w:r w:rsidR="00E57427">
        <w:rPr>
          <w:rFonts w:ascii="Arial" w:hAnsi="Arial" w:cs="Arial"/>
          <w:sz w:val="20"/>
          <w:lang w:val="en-GB"/>
        </w:rPr>
        <w:t xml:space="preserve"> that you can move into once you have enough experience and confidence with the bookkeeping cycle</w:t>
      </w:r>
      <w:r w:rsidR="00FC6556">
        <w:rPr>
          <w:rFonts w:ascii="Arial" w:hAnsi="Arial" w:cs="Arial"/>
          <w:sz w:val="20"/>
          <w:lang w:val="en-GB"/>
        </w:rPr>
        <w:t xml:space="preserve"> to start offering more valuable services to your clients.</w:t>
      </w:r>
    </w:p>
    <w:p w:rsidR="00A23F9E" w:rsidP="00BB2AA3" w14:paraId="7D844B03" w14:textId="77777777">
      <w:pPr>
        <w:rPr>
          <w:rFonts w:ascii="Arial" w:hAnsi="Arial" w:cs="Arial"/>
          <w:b/>
          <w:bCs/>
          <w:color w:val="006600"/>
          <w:sz w:val="24"/>
        </w:rPr>
      </w:pPr>
    </w:p>
    <w:p w:rsidR="00A23F9E" w:rsidP="00BB2AA3" w14:paraId="1B5BF838" w14:textId="77777777">
      <w:pPr>
        <w:rPr>
          <w:rFonts w:ascii="Arial" w:hAnsi="Arial" w:cs="Arial"/>
          <w:b/>
          <w:bCs/>
          <w:color w:val="006600"/>
          <w:sz w:val="24"/>
        </w:rPr>
      </w:pPr>
    </w:p>
    <w:p w:rsidR="00A5738A" w:rsidRPr="00D90EB9" w:rsidP="00BB2AA3" w14:paraId="3E28E69C" w14:textId="573EB2BE">
      <w:pPr>
        <w:rPr>
          <w:rFonts w:ascii="Arial" w:hAnsi="Arial" w:cs="Arial"/>
          <w:b/>
          <w:bCs/>
          <w:sz w:val="20"/>
        </w:rPr>
      </w:pPr>
      <w:r w:rsidRPr="00D90EB9">
        <w:rPr>
          <w:rFonts w:ascii="Arial" w:hAnsi="Arial" w:cs="Arial"/>
          <w:b/>
          <w:bCs/>
          <w:color w:val="006600"/>
          <w:sz w:val="24"/>
        </w:rPr>
        <w:t>Recording</w:t>
      </w:r>
    </w:p>
    <w:p w:rsidR="00A23F9E" w:rsidP="00BB2AA3" w14:paraId="20568166" w14:textId="6B4ECC3E">
      <w:pPr>
        <w:rPr>
          <w:rFonts w:ascii="Arial" w:hAnsi="Arial" w:cs="Arial"/>
          <w:sz w:val="20"/>
          <w:lang w:val="en-GB"/>
        </w:rPr>
      </w:pPr>
      <w:r>
        <w:rPr>
          <w:rFonts w:ascii="Arial" w:hAnsi="Arial" w:cs="Arial"/>
          <w:sz w:val="20"/>
          <w:lang w:val="en-GB"/>
        </w:rPr>
        <w:t>Transactional data is entered into accounting software through manual entry, data capture from optical character recognition apps, data imports, and bank feeds.</w:t>
      </w:r>
    </w:p>
    <w:p w:rsidR="00A5738A" w:rsidP="00BB2AA3" w14:paraId="297DDF91" w14:textId="5895E490">
      <w:pPr>
        <w:rPr>
          <w:rFonts w:ascii="Arial" w:hAnsi="Arial" w:cs="Arial"/>
          <w:sz w:val="20"/>
          <w:lang w:val="en-GB"/>
        </w:rPr>
      </w:pPr>
      <w:r w:rsidRPr="00BB2AA3">
        <w:rPr>
          <w:rFonts w:ascii="Arial" w:hAnsi="Arial" w:cs="Arial"/>
          <w:sz w:val="20"/>
          <w:lang w:val="en-GB"/>
        </w:rPr>
        <w:t xml:space="preserve">This data </w:t>
      </w:r>
      <w:r w:rsidR="00DA1590">
        <w:rPr>
          <w:rFonts w:ascii="Arial" w:hAnsi="Arial" w:cs="Arial"/>
          <w:sz w:val="20"/>
          <w:lang w:val="en-GB"/>
        </w:rPr>
        <w:t>includes</w:t>
      </w:r>
      <w:r w:rsidRPr="00BB2AA3">
        <w:rPr>
          <w:rFonts w:ascii="Arial" w:hAnsi="Arial" w:cs="Arial"/>
          <w:sz w:val="20"/>
          <w:lang w:val="en-GB"/>
        </w:rPr>
        <w:t xml:space="preserve"> </w:t>
      </w:r>
      <w:r w:rsidR="00A23F9E">
        <w:rPr>
          <w:rFonts w:ascii="Arial" w:hAnsi="Arial" w:cs="Arial"/>
          <w:sz w:val="20"/>
          <w:lang w:val="en-GB"/>
        </w:rPr>
        <w:t xml:space="preserve">bank transactions, </w:t>
      </w:r>
      <w:r w:rsidRPr="00BB2AA3">
        <w:rPr>
          <w:rFonts w:ascii="Arial" w:hAnsi="Arial" w:cs="Arial"/>
          <w:sz w:val="20"/>
          <w:lang w:val="en-GB"/>
        </w:rPr>
        <w:t>receipts, bills</w:t>
      </w:r>
      <w:r w:rsidR="00A23F9E">
        <w:rPr>
          <w:rFonts w:ascii="Arial" w:hAnsi="Arial" w:cs="Arial"/>
          <w:sz w:val="20"/>
          <w:lang w:val="en-GB"/>
        </w:rPr>
        <w:t xml:space="preserve">, </w:t>
      </w:r>
      <w:r w:rsidRPr="00BB2AA3">
        <w:rPr>
          <w:rFonts w:ascii="Arial" w:hAnsi="Arial" w:cs="Arial"/>
          <w:sz w:val="20"/>
          <w:lang w:val="en-GB"/>
        </w:rPr>
        <w:t>invoices</w:t>
      </w:r>
      <w:r w:rsidR="00DA1590">
        <w:rPr>
          <w:rFonts w:ascii="Arial" w:hAnsi="Arial" w:cs="Arial"/>
          <w:sz w:val="20"/>
          <w:lang w:val="en-GB"/>
        </w:rPr>
        <w:t xml:space="preserve">, </w:t>
      </w:r>
      <w:r w:rsidR="00DA1590">
        <w:rPr>
          <w:rFonts w:ascii="Arial" w:hAnsi="Arial" w:cs="Arial"/>
          <w:sz w:val="20"/>
          <w:lang w:val="en-GB"/>
        </w:rPr>
        <w:t>sales</w:t>
      </w:r>
      <w:r w:rsidR="00DA1590">
        <w:rPr>
          <w:rFonts w:ascii="Arial" w:hAnsi="Arial" w:cs="Arial"/>
          <w:sz w:val="20"/>
          <w:lang w:val="en-GB"/>
        </w:rPr>
        <w:t xml:space="preserve"> and purchases</w:t>
      </w:r>
      <w:r w:rsidRPr="00BB2AA3">
        <w:rPr>
          <w:rFonts w:ascii="Arial" w:hAnsi="Arial" w:cs="Arial"/>
          <w:sz w:val="20"/>
          <w:lang w:val="en-GB"/>
        </w:rPr>
        <w:t>.</w:t>
      </w:r>
    </w:p>
    <w:p w:rsidR="00262D3C" w:rsidP="00BB2AA3" w14:paraId="4DFDF8FB" w14:textId="24492E12">
      <w:pPr>
        <w:rPr>
          <w:rFonts w:ascii="Arial" w:hAnsi="Arial" w:cs="Arial"/>
          <w:sz w:val="20"/>
          <w:lang w:val="en-GB"/>
        </w:rPr>
      </w:pPr>
      <w:r>
        <w:rPr>
          <w:rFonts w:ascii="Arial" w:hAnsi="Arial" w:cs="Arial"/>
          <w:sz w:val="20"/>
          <w:lang w:val="en-GB"/>
        </w:rPr>
        <w:t>Historical</w:t>
      </w:r>
      <w:r w:rsidR="00C034DE">
        <w:rPr>
          <w:rFonts w:ascii="Arial" w:hAnsi="Arial" w:cs="Arial"/>
          <w:sz w:val="20"/>
          <w:lang w:val="en-GB"/>
        </w:rPr>
        <w:t>ly</w:t>
      </w:r>
      <w:r>
        <w:rPr>
          <w:rFonts w:ascii="Arial" w:hAnsi="Arial" w:cs="Arial"/>
          <w:sz w:val="20"/>
          <w:lang w:val="en-GB"/>
        </w:rPr>
        <w:t xml:space="preserve">, bookkeeping </w:t>
      </w:r>
      <w:r w:rsidR="00C034DE">
        <w:rPr>
          <w:rFonts w:ascii="Arial" w:hAnsi="Arial" w:cs="Arial"/>
          <w:sz w:val="20"/>
          <w:lang w:val="en-GB"/>
        </w:rPr>
        <w:t xml:space="preserve">involved a great deal of manual data entry. These days with bank feeds and data </w:t>
      </w:r>
      <w:r w:rsidR="00A23F9E">
        <w:rPr>
          <w:rFonts w:ascii="Arial" w:hAnsi="Arial" w:cs="Arial"/>
          <w:sz w:val="20"/>
          <w:lang w:val="en-GB"/>
        </w:rPr>
        <w:t>imports</w:t>
      </w:r>
      <w:r w:rsidR="0035436F">
        <w:rPr>
          <w:rFonts w:ascii="Arial" w:hAnsi="Arial" w:cs="Arial"/>
          <w:sz w:val="20"/>
          <w:lang w:val="en-GB"/>
        </w:rPr>
        <w:t>, there is far less time required for data entry.</w:t>
      </w:r>
    </w:p>
    <w:p w:rsidR="0035436F" w:rsidP="00BB2AA3" w14:paraId="1EA5E7FC" w14:textId="5ABBD696">
      <w:pPr>
        <w:rPr>
          <w:rFonts w:ascii="Arial" w:hAnsi="Arial" w:cs="Arial"/>
          <w:sz w:val="20"/>
          <w:lang w:val="en-GB"/>
        </w:rPr>
      </w:pPr>
      <w:r>
        <w:rPr>
          <w:rFonts w:ascii="Arial" w:hAnsi="Arial" w:cs="Arial"/>
          <w:sz w:val="20"/>
          <w:lang w:val="en-GB"/>
        </w:rPr>
        <w:t xml:space="preserve">This allows </w:t>
      </w:r>
      <w:r w:rsidR="00B04E8E">
        <w:rPr>
          <w:rFonts w:ascii="Arial" w:hAnsi="Arial" w:cs="Arial"/>
          <w:sz w:val="20"/>
          <w:lang w:val="en-GB"/>
        </w:rPr>
        <w:t xml:space="preserve">the bookkeeper more time for analysis of the </w:t>
      </w:r>
      <w:r w:rsidR="00555095">
        <w:rPr>
          <w:rFonts w:ascii="Arial" w:hAnsi="Arial" w:cs="Arial"/>
          <w:sz w:val="20"/>
          <w:lang w:val="en-GB"/>
        </w:rPr>
        <w:t>accounts.</w:t>
      </w:r>
    </w:p>
    <w:p w:rsidR="00234A08" w:rsidRPr="00BB2AA3" w:rsidP="00BB2AA3" w14:paraId="73242476" w14:textId="4CCD1CA2">
      <w:pPr>
        <w:rPr>
          <w:rFonts w:ascii="Arial" w:hAnsi="Arial" w:cs="Arial"/>
          <w:sz w:val="20"/>
          <w:lang w:val="en-GB"/>
        </w:rPr>
      </w:pPr>
      <w:r>
        <w:rPr>
          <w:rFonts w:ascii="Arial" w:hAnsi="Arial" w:cs="Arial"/>
          <w:sz w:val="20"/>
          <w:lang w:val="en-GB"/>
        </w:rPr>
        <w:t>Payroll is another aspect of recording information, which may involve data import</w:t>
      </w:r>
      <w:r w:rsidR="00A23F9E">
        <w:rPr>
          <w:rFonts w:ascii="Arial" w:hAnsi="Arial" w:cs="Arial"/>
          <w:sz w:val="20"/>
          <w:lang w:val="en-GB"/>
        </w:rPr>
        <w:t>ed</w:t>
      </w:r>
      <w:r>
        <w:rPr>
          <w:rFonts w:ascii="Arial" w:hAnsi="Arial" w:cs="Arial"/>
          <w:sz w:val="20"/>
          <w:lang w:val="en-GB"/>
        </w:rPr>
        <w:t xml:space="preserve"> from dedicated payroll solutions or manual payroll</w:t>
      </w:r>
      <w:r w:rsidR="004C6874">
        <w:rPr>
          <w:rFonts w:ascii="Arial" w:hAnsi="Arial" w:cs="Arial"/>
          <w:sz w:val="20"/>
          <w:lang w:val="en-GB"/>
        </w:rPr>
        <w:t xml:space="preserve"> entry according to the employer's pay cycle.</w:t>
      </w:r>
      <w:r w:rsidR="00054D0B">
        <w:rPr>
          <w:rFonts w:ascii="Arial" w:hAnsi="Arial" w:cs="Arial"/>
          <w:sz w:val="20"/>
          <w:lang w:val="en-GB"/>
        </w:rPr>
        <w:t xml:space="preserve"> </w:t>
      </w:r>
      <w:r w:rsidR="00D9051B">
        <w:rPr>
          <w:rFonts w:ascii="Arial" w:hAnsi="Arial" w:cs="Arial"/>
          <w:sz w:val="20"/>
          <w:lang w:val="en-GB"/>
        </w:rPr>
        <w:t>Most payroll functions involve BAS services</w:t>
      </w:r>
      <w:r w:rsidR="00A23F9E">
        <w:rPr>
          <w:rFonts w:ascii="Arial" w:hAnsi="Arial" w:cs="Arial"/>
          <w:sz w:val="20"/>
          <w:lang w:val="en-GB"/>
        </w:rPr>
        <w:t>.</w:t>
      </w:r>
    </w:p>
    <w:p w:rsidR="00A5738A" w:rsidRPr="00D90EB9" w:rsidP="00BB2AA3" w14:paraId="7C252B8B" w14:textId="00314868">
      <w:pPr>
        <w:rPr>
          <w:rFonts w:ascii="Arial" w:hAnsi="Arial" w:cs="Arial"/>
          <w:b/>
          <w:bCs/>
          <w:color w:val="006600"/>
          <w:sz w:val="24"/>
        </w:rPr>
      </w:pPr>
      <w:r w:rsidRPr="00D90EB9">
        <w:rPr>
          <w:rFonts w:ascii="Arial" w:hAnsi="Arial" w:cs="Arial"/>
          <w:b/>
          <w:bCs/>
          <w:color w:val="006600"/>
          <w:sz w:val="24"/>
        </w:rPr>
        <w:t>Classifying</w:t>
      </w:r>
    </w:p>
    <w:p w:rsidR="00A5738A" w:rsidP="00BB2AA3" w14:paraId="1643B7C0" w14:textId="4BF75682">
      <w:pPr>
        <w:rPr>
          <w:rFonts w:ascii="Arial" w:hAnsi="Arial" w:cs="Arial"/>
          <w:sz w:val="20"/>
          <w:lang w:val="en-GB"/>
        </w:rPr>
      </w:pPr>
      <w:r w:rsidRPr="00BB2AA3">
        <w:rPr>
          <w:rFonts w:ascii="Arial" w:hAnsi="Arial" w:cs="Arial"/>
          <w:sz w:val="20"/>
          <w:lang w:val="en-GB"/>
        </w:rPr>
        <w:t>Once the</w:t>
      </w:r>
      <w:r w:rsidRPr="00BB2AA3" w:rsidR="00250882">
        <w:rPr>
          <w:rFonts w:ascii="Arial" w:hAnsi="Arial" w:cs="Arial"/>
          <w:sz w:val="20"/>
          <w:lang w:val="en-GB"/>
        </w:rPr>
        <w:t xml:space="preserve"> </w:t>
      </w:r>
      <w:r w:rsidRPr="00BB2AA3">
        <w:rPr>
          <w:rFonts w:ascii="Arial" w:hAnsi="Arial" w:cs="Arial"/>
          <w:sz w:val="20"/>
          <w:lang w:val="en-GB"/>
        </w:rPr>
        <w:t xml:space="preserve">information is </w:t>
      </w:r>
      <w:r w:rsidR="000F45F7">
        <w:rPr>
          <w:rFonts w:ascii="Arial" w:hAnsi="Arial" w:cs="Arial"/>
          <w:sz w:val="20"/>
          <w:lang w:val="en-GB"/>
        </w:rPr>
        <w:t xml:space="preserve">received or </w:t>
      </w:r>
      <w:r w:rsidRPr="00BB2AA3">
        <w:rPr>
          <w:rFonts w:ascii="Arial" w:hAnsi="Arial" w:cs="Arial"/>
          <w:sz w:val="20"/>
          <w:lang w:val="en-GB"/>
        </w:rPr>
        <w:t xml:space="preserve">entered from the source </w:t>
      </w:r>
      <w:r w:rsidRPr="00BB2AA3" w:rsidR="00250882">
        <w:rPr>
          <w:rFonts w:ascii="Arial" w:hAnsi="Arial" w:cs="Arial"/>
          <w:sz w:val="20"/>
          <w:lang w:val="en-GB"/>
        </w:rPr>
        <w:t>documents</w:t>
      </w:r>
      <w:r w:rsidR="00A23F9E">
        <w:rPr>
          <w:rFonts w:ascii="Arial" w:hAnsi="Arial" w:cs="Arial"/>
          <w:sz w:val="20"/>
          <w:lang w:val="en-GB"/>
        </w:rPr>
        <w:t xml:space="preserve"> or data imports</w:t>
      </w:r>
      <w:r w:rsidRPr="00BB2AA3" w:rsidR="00250882">
        <w:rPr>
          <w:rFonts w:ascii="Arial" w:hAnsi="Arial" w:cs="Arial"/>
          <w:sz w:val="20"/>
          <w:lang w:val="en-GB"/>
        </w:rPr>
        <w:t>,</w:t>
      </w:r>
      <w:r w:rsidRPr="00BB2AA3">
        <w:rPr>
          <w:rFonts w:ascii="Arial" w:hAnsi="Arial" w:cs="Arial"/>
          <w:sz w:val="20"/>
          <w:lang w:val="en-GB"/>
        </w:rPr>
        <w:t xml:space="preserve"> </w:t>
      </w:r>
      <w:r w:rsidR="00A23F9E">
        <w:rPr>
          <w:rFonts w:ascii="Arial" w:hAnsi="Arial" w:cs="Arial"/>
          <w:sz w:val="20"/>
          <w:lang w:val="en-GB"/>
        </w:rPr>
        <w:t xml:space="preserve">the transactions must be allocated to the correct general ledger account; </w:t>
      </w:r>
      <w:r w:rsidRPr="00BB2AA3">
        <w:rPr>
          <w:rFonts w:ascii="Arial" w:hAnsi="Arial" w:cs="Arial"/>
          <w:sz w:val="20"/>
          <w:lang w:val="en-GB"/>
        </w:rPr>
        <w:t>this build</w:t>
      </w:r>
      <w:r w:rsidRPr="00BB2AA3" w:rsidR="00250882">
        <w:rPr>
          <w:rFonts w:ascii="Arial" w:hAnsi="Arial" w:cs="Arial"/>
          <w:sz w:val="20"/>
          <w:lang w:val="en-GB"/>
        </w:rPr>
        <w:t>s</w:t>
      </w:r>
      <w:r w:rsidRPr="00BB2AA3">
        <w:rPr>
          <w:rFonts w:ascii="Arial" w:hAnsi="Arial" w:cs="Arial"/>
          <w:sz w:val="20"/>
          <w:lang w:val="en-GB"/>
        </w:rPr>
        <w:t xml:space="preserve"> the foundations for </w:t>
      </w:r>
      <w:r w:rsidR="00A23F9E">
        <w:rPr>
          <w:rFonts w:ascii="Arial" w:hAnsi="Arial" w:cs="Arial"/>
          <w:sz w:val="20"/>
          <w:lang w:val="en-GB"/>
        </w:rPr>
        <w:t xml:space="preserve">accurate </w:t>
      </w:r>
      <w:r w:rsidRPr="00BB2AA3">
        <w:rPr>
          <w:rFonts w:ascii="Arial" w:hAnsi="Arial" w:cs="Arial"/>
          <w:sz w:val="20"/>
          <w:lang w:val="en-GB"/>
        </w:rPr>
        <w:t>financial reporting.</w:t>
      </w:r>
    </w:p>
    <w:p w:rsidR="000F45F7" w:rsidP="00BB2AA3" w14:paraId="4E1058B9" w14:textId="1BC24A4F">
      <w:pPr>
        <w:rPr>
          <w:rFonts w:ascii="Arial" w:hAnsi="Arial" w:cs="Arial"/>
          <w:sz w:val="20"/>
          <w:lang w:val="en-GB"/>
        </w:rPr>
      </w:pPr>
      <w:r>
        <w:rPr>
          <w:rFonts w:ascii="Arial" w:hAnsi="Arial" w:cs="Arial"/>
          <w:sz w:val="20"/>
          <w:lang w:val="en-GB"/>
        </w:rPr>
        <w:t xml:space="preserve">Although </w:t>
      </w:r>
      <w:r w:rsidR="009A3CC8">
        <w:rPr>
          <w:rFonts w:ascii="Arial" w:hAnsi="Arial" w:cs="Arial"/>
          <w:sz w:val="20"/>
          <w:lang w:val="en-GB"/>
        </w:rPr>
        <w:t xml:space="preserve">accounting software is becoming more automated, automatic allocations </w:t>
      </w:r>
      <w:r w:rsidR="00A23F9E">
        <w:rPr>
          <w:rFonts w:ascii="Arial" w:hAnsi="Arial" w:cs="Arial"/>
          <w:sz w:val="20"/>
          <w:lang w:val="en-GB"/>
        </w:rPr>
        <w:t xml:space="preserve">must be reviewed </w:t>
      </w:r>
      <w:r w:rsidR="009A3CC8">
        <w:rPr>
          <w:rFonts w:ascii="Arial" w:hAnsi="Arial" w:cs="Arial"/>
          <w:sz w:val="20"/>
          <w:lang w:val="en-GB"/>
        </w:rPr>
        <w:t>to ensure the allocations are accurate.</w:t>
      </w:r>
    </w:p>
    <w:p w:rsidR="00A90E11" w:rsidRPr="00BB2AA3" w:rsidP="00BB2AA3" w14:paraId="34F74B08" w14:textId="59271EB1">
      <w:pPr>
        <w:rPr>
          <w:rFonts w:ascii="Arial" w:hAnsi="Arial" w:cs="Arial"/>
          <w:sz w:val="20"/>
          <w:lang w:val="en-GB"/>
        </w:rPr>
      </w:pPr>
      <w:r>
        <w:rPr>
          <w:rFonts w:ascii="Arial" w:hAnsi="Arial" w:cs="Arial"/>
          <w:sz w:val="20"/>
          <w:lang w:val="en-GB"/>
        </w:rPr>
        <w:t>Accounting</w:t>
      </w:r>
      <w:r w:rsidR="00784C27">
        <w:rPr>
          <w:rFonts w:ascii="Arial" w:hAnsi="Arial" w:cs="Arial"/>
          <w:sz w:val="20"/>
          <w:lang w:val="en-GB"/>
        </w:rPr>
        <w:t xml:space="preserve"> software </w:t>
      </w:r>
      <w:r>
        <w:rPr>
          <w:rFonts w:ascii="Arial" w:hAnsi="Arial" w:cs="Arial"/>
          <w:sz w:val="20"/>
          <w:lang w:val="en-GB"/>
        </w:rPr>
        <w:t xml:space="preserve">solutions have functions to allow for easy searching and </w:t>
      </w:r>
      <w:r w:rsidR="00784C27">
        <w:rPr>
          <w:rFonts w:ascii="Arial" w:hAnsi="Arial" w:cs="Arial"/>
          <w:sz w:val="20"/>
          <w:lang w:val="en-GB"/>
        </w:rPr>
        <w:t>analysis</w:t>
      </w:r>
      <w:r>
        <w:rPr>
          <w:rFonts w:ascii="Arial" w:hAnsi="Arial" w:cs="Arial"/>
          <w:sz w:val="20"/>
          <w:lang w:val="en-GB"/>
        </w:rPr>
        <w:t xml:space="preserve"> of general ledger accounts and fast</w:t>
      </w:r>
      <w:r w:rsidR="00784C27">
        <w:rPr>
          <w:rFonts w:ascii="Arial" w:hAnsi="Arial" w:cs="Arial"/>
          <w:sz w:val="20"/>
          <w:lang w:val="en-GB"/>
        </w:rPr>
        <w:t xml:space="preserve"> recoding of </w:t>
      </w:r>
      <w:r>
        <w:rPr>
          <w:rFonts w:ascii="Arial" w:hAnsi="Arial" w:cs="Arial"/>
          <w:sz w:val="20"/>
          <w:lang w:val="en-GB"/>
        </w:rPr>
        <w:t>incorrect accounts.</w:t>
      </w:r>
    </w:p>
    <w:p w:rsidR="00A5738A" w:rsidRPr="00D90EB9" w:rsidP="00BB2AA3" w14:paraId="7B0DAF17" w14:textId="46BED3C3">
      <w:pPr>
        <w:rPr>
          <w:rFonts w:ascii="Arial" w:hAnsi="Arial" w:cs="Arial"/>
          <w:b/>
          <w:bCs/>
          <w:color w:val="006600"/>
          <w:sz w:val="24"/>
        </w:rPr>
      </w:pPr>
      <w:r w:rsidRPr="00D90EB9">
        <w:rPr>
          <w:rFonts w:ascii="Arial" w:hAnsi="Arial" w:cs="Arial"/>
          <w:b/>
          <w:bCs/>
          <w:color w:val="006600"/>
          <w:sz w:val="24"/>
        </w:rPr>
        <w:t>S</w:t>
      </w:r>
      <w:r w:rsidRPr="00D90EB9" w:rsidR="00D90EB9">
        <w:rPr>
          <w:rFonts w:ascii="Arial" w:hAnsi="Arial" w:cs="Arial"/>
          <w:b/>
          <w:bCs/>
          <w:color w:val="006600"/>
          <w:sz w:val="24"/>
        </w:rPr>
        <w:t>ummarising</w:t>
      </w:r>
      <w:r w:rsidRPr="00D90EB9" w:rsidR="00BB2AA3">
        <w:rPr>
          <w:rFonts w:ascii="Arial" w:hAnsi="Arial" w:cs="Arial"/>
          <w:b/>
          <w:bCs/>
          <w:color w:val="006600"/>
          <w:sz w:val="24"/>
        </w:rPr>
        <w:t xml:space="preserve"> </w:t>
      </w:r>
    </w:p>
    <w:p w:rsidR="00594FFB" w:rsidP="00BB2AA3" w14:paraId="1A2478AC" w14:textId="653F7ED6">
      <w:pPr>
        <w:rPr>
          <w:rFonts w:ascii="Arial" w:hAnsi="Arial" w:cs="Arial"/>
          <w:sz w:val="20"/>
          <w:lang w:val="en-GB"/>
        </w:rPr>
      </w:pPr>
      <w:r>
        <w:rPr>
          <w:rFonts w:ascii="Arial" w:hAnsi="Arial" w:cs="Arial"/>
          <w:sz w:val="20"/>
          <w:lang w:val="en-GB"/>
        </w:rPr>
        <w:t xml:space="preserve">Summarising the information for accurate financial reporting requires reconciliation of all </w:t>
      </w:r>
      <w:r w:rsidR="00877F2F">
        <w:rPr>
          <w:rFonts w:ascii="Arial" w:hAnsi="Arial" w:cs="Arial"/>
          <w:sz w:val="20"/>
          <w:lang w:val="en-GB"/>
        </w:rPr>
        <w:t xml:space="preserve">cash and </w:t>
      </w:r>
      <w:r>
        <w:rPr>
          <w:rFonts w:ascii="Arial" w:hAnsi="Arial" w:cs="Arial"/>
          <w:sz w:val="20"/>
          <w:lang w:val="en-GB"/>
        </w:rPr>
        <w:t xml:space="preserve">bank accounts, </w:t>
      </w:r>
      <w:r w:rsidR="008D0DBA">
        <w:rPr>
          <w:rFonts w:ascii="Arial" w:hAnsi="Arial" w:cs="Arial"/>
          <w:sz w:val="20"/>
          <w:lang w:val="en-GB"/>
        </w:rPr>
        <w:t xml:space="preserve">payment platform accounts, loans, </w:t>
      </w:r>
      <w:r w:rsidR="004D0F41">
        <w:rPr>
          <w:rFonts w:ascii="Arial" w:hAnsi="Arial" w:cs="Arial"/>
          <w:sz w:val="20"/>
          <w:lang w:val="en-GB"/>
        </w:rPr>
        <w:t>and liabilities such as superannuation</w:t>
      </w:r>
      <w:r w:rsidR="00877F2F">
        <w:rPr>
          <w:rFonts w:ascii="Arial" w:hAnsi="Arial" w:cs="Arial"/>
          <w:sz w:val="20"/>
          <w:lang w:val="en-GB"/>
        </w:rPr>
        <w:t xml:space="preserve"> or</w:t>
      </w:r>
      <w:r w:rsidR="004D0F41">
        <w:rPr>
          <w:rFonts w:ascii="Arial" w:hAnsi="Arial" w:cs="Arial"/>
          <w:sz w:val="20"/>
          <w:lang w:val="en-GB"/>
        </w:rPr>
        <w:t xml:space="preserve"> </w:t>
      </w:r>
      <w:r w:rsidR="00AE2D04">
        <w:rPr>
          <w:rFonts w:ascii="Arial" w:hAnsi="Arial" w:cs="Arial"/>
          <w:sz w:val="20"/>
          <w:lang w:val="en-GB"/>
        </w:rPr>
        <w:t>PAYGW</w:t>
      </w:r>
      <w:r w:rsidR="00877F2F">
        <w:rPr>
          <w:rFonts w:ascii="Arial" w:hAnsi="Arial" w:cs="Arial"/>
          <w:sz w:val="20"/>
          <w:lang w:val="en-GB"/>
        </w:rPr>
        <w:t>. C</w:t>
      </w:r>
      <w:r w:rsidR="004D0F41">
        <w:rPr>
          <w:rFonts w:ascii="Arial" w:hAnsi="Arial" w:cs="Arial"/>
          <w:sz w:val="20"/>
          <w:lang w:val="en-GB"/>
        </w:rPr>
        <w:t xml:space="preserve">ontrol accounts </w:t>
      </w:r>
      <w:r w:rsidR="004F1B06">
        <w:rPr>
          <w:rFonts w:ascii="Arial" w:hAnsi="Arial" w:cs="Arial"/>
          <w:sz w:val="20"/>
          <w:lang w:val="en-GB"/>
        </w:rPr>
        <w:t xml:space="preserve">for </w:t>
      </w:r>
      <w:r w:rsidR="004D0F41">
        <w:rPr>
          <w:rFonts w:ascii="Arial" w:hAnsi="Arial" w:cs="Arial"/>
          <w:sz w:val="20"/>
          <w:lang w:val="en-GB"/>
        </w:rPr>
        <w:t xml:space="preserve">GST, </w:t>
      </w:r>
      <w:r w:rsidR="00877F2F">
        <w:rPr>
          <w:rFonts w:ascii="Arial" w:hAnsi="Arial" w:cs="Arial"/>
          <w:sz w:val="20"/>
          <w:lang w:val="en-GB"/>
        </w:rPr>
        <w:t xml:space="preserve">accounts receivable and payable </w:t>
      </w:r>
      <w:r w:rsidR="004F1B06">
        <w:rPr>
          <w:rFonts w:ascii="Arial" w:hAnsi="Arial" w:cs="Arial"/>
          <w:sz w:val="20"/>
          <w:lang w:val="en-GB"/>
        </w:rPr>
        <w:t>should also be reconciled prior to producing reports.</w:t>
      </w:r>
      <w:r w:rsidR="00877F2F">
        <w:rPr>
          <w:rFonts w:ascii="Arial" w:hAnsi="Arial" w:cs="Arial"/>
          <w:sz w:val="20"/>
          <w:lang w:val="en-GB"/>
        </w:rPr>
        <w:t xml:space="preserve"> </w:t>
      </w:r>
    </w:p>
    <w:p w:rsidR="000861E5" w:rsidP="00BB2AA3" w14:paraId="4FF1BE65" w14:textId="6C7F4BE5">
      <w:pPr>
        <w:rPr>
          <w:rFonts w:ascii="Arial" w:hAnsi="Arial" w:cs="Arial"/>
          <w:sz w:val="20"/>
          <w:lang w:val="en-GB"/>
        </w:rPr>
      </w:pPr>
      <w:r>
        <w:rPr>
          <w:rFonts w:ascii="Arial" w:hAnsi="Arial" w:cs="Arial"/>
          <w:sz w:val="20"/>
          <w:lang w:val="en-GB"/>
        </w:rPr>
        <w:t>This stage of bookkeeping may</w:t>
      </w:r>
      <w:r w:rsidR="004A0279">
        <w:rPr>
          <w:rFonts w:ascii="Arial" w:hAnsi="Arial" w:cs="Arial"/>
          <w:sz w:val="20"/>
          <w:lang w:val="en-GB"/>
        </w:rPr>
        <w:t xml:space="preserve"> also</w:t>
      </w:r>
      <w:r>
        <w:rPr>
          <w:rFonts w:ascii="Arial" w:hAnsi="Arial" w:cs="Arial"/>
          <w:sz w:val="20"/>
          <w:lang w:val="en-GB"/>
        </w:rPr>
        <w:t xml:space="preserve"> involve</w:t>
      </w:r>
      <w:r w:rsidR="00315037">
        <w:rPr>
          <w:rFonts w:ascii="Arial" w:hAnsi="Arial" w:cs="Arial"/>
          <w:sz w:val="20"/>
          <w:lang w:val="en-GB"/>
        </w:rPr>
        <w:t xml:space="preserve"> </w:t>
      </w:r>
      <w:r>
        <w:rPr>
          <w:rFonts w:ascii="Arial" w:hAnsi="Arial" w:cs="Arial"/>
          <w:sz w:val="20"/>
          <w:lang w:val="en-GB"/>
        </w:rPr>
        <w:t xml:space="preserve">journal entries </w:t>
      </w:r>
      <w:r w:rsidR="00AC6F30">
        <w:rPr>
          <w:rFonts w:ascii="Arial" w:hAnsi="Arial" w:cs="Arial"/>
          <w:sz w:val="20"/>
          <w:lang w:val="en-GB"/>
        </w:rPr>
        <w:t>for accounting movements</w:t>
      </w:r>
      <w:r w:rsidR="00315037">
        <w:rPr>
          <w:rFonts w:ascii="Arial" w:hAnsi="Arial" w:cs="Arial"/>
          <w:sz w:val="20"/>
          <w:lang w:val="en-GB"/>
        </w:rPr>
        <w:t>.</w:t>
      </w:r>
    </w:p>
    <w:p w:rsidR="00A90E11" w:rsidP="00BB2AA3" w14:paraId="54DD7329" w14:textId="6A8F90D7">
      <w:pPr>
        <w:rPr>
          <w:rFonts w:ascii="Arial" w:hAnsi="Arial" w:cs="Arial"/>
          <w:sz w:val="20"/>
          <w:lang w:val="en-GB"/>
        </w:rPr>
      </w:pPr>
      <w:r w:rsidRPr="00BB2AA3">
        <w:rPr>
          <w:rFonts w:ascii="Arial" w:hAnsi="Arial" w:cs="Arial"/>
          <w:sz w:val="20"/>
          <w:lang w:val="en-GB"/>
        </w:rPr>
        <w:t xml:space="preserve">In this final bookkeeping </w:t>
      </w:r>
      <w:r w:rsidRPr="00BB2AA3" w:rsidR="00250882">
        <w:rPr>
          <w:rFonts w:ascii="Arial" w:hAnsi="Arial" w:cs="Arial"/>
          <w:sz w:val="20"/>
          <w:lang w:val="en-GB"/>
        </w:rPr>
        <w:t>step,</w:t>
      </w:r>
      <w:r w:rsidRPr="00BB2AA3">
        <w:rPr>
          <w:rFonts w:ascii="Arial" w:hAnsi="Arial" w:cs="Arial"/>
          <w:sz w:val="20"/>
          <w:lang w:val="en-GB"/>
        </w:rPr>
        <w:t xml:space="preserve"> we bring the accounts to trial balance</w:t>
      </w:r>
      <w:r w:rsidR="004F1B06">
        <w:rPr>
          <w:rFonts w:ascii="Arial" w:hAnsi="Arial" w:cs="Arial"/>
          <w:sz w:val="20"/>
          <w:lang w:val="en-GB"/>
        </w:rPr>
        <w:t>. B</w:t>
      </w:r>
      <w:r w:rsidRPr="00BB2AA3">
        <w:rPr>
          <w:rFonts w:ascii="Arial" w:hAnsi="Arial" w:cs="Arial"/>
          <w:sz w:val="20"/>
          <w:lang w:val="en-GB"/>
        </w:rPr>
        <w:t xml:space="preserve">y summarising the </w:t>
      </w:r>
      <w:r w:rsidR="00BF1A72">
        <w:rPr>
          <w:rFonts w:ascii="Arial" w:hAnsi="Arial" w:cs="Arial"/>
          <w:sz w:val="20"/>
          <w:lang w:val="en-GB"/>
        </w:rPr>
        <w:t xml:space="preserve">transactional and accounting </w:t>
      </w:r>
      <w:r w:rsidRPr="00BB2AA3">
        <w:rPr>
          <w:rFonts w:ascii="Arial" w:hAnsi="Arial" w:cs="Arial"/>
          <w:sz w:val="20"/>
          <w:lang w:val="en-GB"/>
        </w:rPr>
        <w:t>data in</w:t>
      </w:r>
      <w:r w:rsidR="004F1B06">
        <w:rPr>
          <w:rFonts w:ascii="Arial" w:hAnsi="Arial" w:cs="Arial"/>
          <w:sz w:val="20"/>
          <w:lang w:val="en-GB"/>
        </w:rPr>
        <w:t>to financial</w:t>
      </w:r>
      <w:r w:rsidRPr="00BB2AA3">
        <w:rPr>
          <w:rFonts w:ascii="Arial" w:hAnsi="Arial" w:cs="Arial"/>
          <w:sz w:val="20"/>
          <w:lang w:val="en-GB"/>
        </w:rPr>
        <w:t xml:space="preserve"> reports</w:t>
      </w:r>
      <w:r w:rsidR="004F1B06">
        <w:rPr>
          <w:rFonts w:ascii="Arial" w:hAnsi="Arial" w:cs="Arial"/>
          <w:sz w:val="20"/>
          <w:lang w:val="en-GB"/>
        </w:rPr>
        <w:t>,</w:t>
      </w:r>
      <w:r w:rsidRPr="00BB2AA3">
        <w:rPr>
          <w:rFonts w:ascii="Arial" w:hAnsi="Arial" w:cs="Arial"/>
          <w:sz w:val="20"/>
          <w:lang w:val="en-GB"/>
        </w:rPr>
        <w:t xml:space="preserve"> we can provide business owners, governing bodies</w:t>
      </w:r>
      <w:r w:rsidR="004A0279">
        <w:rPr>
          <w:rFonts w:ascii="Arial" w:hAnsi="Arial" w:cs="Arial"/>
          <w:sz w:val="20"/>
          <w:lang w:val="en-GB"/>
        </w:rPr>
        <w:t>,</w:t>
      </w:r>
      <w:r w:rsidRPr="00BB2AA3">
        <w:rPr>
          <w:rFonts w:ascii="Arial" w:hAnsi="Arial" w:cs="Arial"/>
          <w:sz w:val="20"/>
          <w:lang w:val="en-GB"/>
        </w:rPr>
        <w:t xml:space="preserve"> and shareholders with the required information to make </w:t>
      </w:r>
      <w:r w:rsidR="004F1B06">
        <w:rPr>
          <w:rFonts w:ascii="Arial" w:hAnsi="Arial" w:cs="Arial"/>
          <w:sz w:val="20"/>
          <w:lang w:val="en-GB"/>
        </w:rPr>
        <w:t>better</w:t>
      </w:r>
      <w:r w:rsidRPr="00BB2AA3">
        <w:rPr>
          <w:rFonts w:ascii="Arial" w:hAnsi="Arial" w:cs="Arial"/>
          <w:sz w:val="20"/>
          <w:lang w:val="en-GB"/>
        </w:rPr>
        <w:t xml:space="preserve"> strategic and </w:t>
      </w:r>
      <w:r w:rsidRPr="00BB2AA3">
        <w:rPr>
          <w:rFonts w:ascii="Arial" w:hAnsi="Arial" w:cs="Arial"/>
          <w:sz w:val="20"/>
          <w:lang w:val="en-GB"/>
        </w:rPr>
        <w:t>investment-based</w:t>
      </w:r>
      <w:r w:rsidRPr="00BB2AA3">
        <w:rPr>
          <w:rFonts w:ascii="Arial" w:hAnsi="Arial" w:cs="Arial"/>
          <w:sz w:val="20"/>
          <w:lang w:val="en-GB"/>
        </w:rPr>
        <w:t xml:space="preserve"> decisions.</w:t>
      </w:r>
    </w:p>
    <w:p w:rsidR="00E406C5" w:rsidRPr="00A23F9E" w:rsidP="00BB2AA3" w14:paraId="5255F96B" w14:textId="774862D4">
      <w:pPr>
        <w:rPr>
          <w:rFonts w:ascii="Arial" w:hAnsi="Arial" w:cs="Arial"/>
          <w:b/>
          <w:bCs/>
          <w:color w:val="006600"/>
          <w:sz w:val="24"/>
          <w:szCs w:val="24"/>
          <w:lang w:val="en-GB"/>
        </w:rPr>
      </w:pPr>
      <w:r w:rsidRPr="00A23F9E">
        <w:rPr>
          <w:rFonts w:ascii="Arial" w:hAnsi="Arial" w:cs="Arial"/>
          <w:b/>
          <w:bCs/>
          <w:color w:val="006600"/>
          <w:sz w:val="24"/>
          <w:szCs w:val="24"/>
          <w:lang w:val="en-GB"/>
        </w:rPr>
        <w:t>Bookkeeping Processes</w:t>
      </w:r>
    </w:p>
    <w:p w:rsidR="00E406C5" w:rsidRPr="00E406C5" w:rsidP="00BB2AA3" w14:paraId="2F044A2A" w14:textId="550D51DA">
      <w:pPr>
        <w:rPr>
          <w:rFonts w:ascii="Arial" w:hAnsi="Arial" w:cs="Arial"/>
          <w:sz w:val="20"/>
          <w:lang w:val="en-GB"/>
        </w:rPr>
      </w:pPr>
      <w:r w:rsidRPr="00E406C5">
        <w:rPr>
          <w:rFonts w:ascii="Arial" w:hAnsi="Arial" w:cs="Arial"/>
          <w:sz w:val="20"/>
          <w:lang w:val="en-GB"/>
        </w:rPr>
        <w:t>The process of bookkeeping for a business encompasses all areas of a business’s operations.</w:t>
      </w:r>
      <w:r w:rsidR="004A0279">
        <w:rPr>
          <w:rFonts w:ascii="Arial" w:hAnsi="Arial" w:cs="Arial"/>
          <w:sz w:val="20"/>
          <w:lang w:val="en-GB"/>
        </w:rPr>
        <w:t xml:space="preserve"> As a bookkeeper, you will need to become familiar with all areas.</w:t>
      </w:r>
    </w:p>
    <w:p w:rsidR="00E406C5" w:rsidP="00E406C5" w14:paraId="1A7CAB66" w14:textId="245371DF">
      <w:pPr>
        <w:pStyle w:val="ListParagraph"/>
        <w:numPr>
          <w:ilvl w:val="0"/>
          <w:numId w:val="26"/>
        </w:numPr>
        <w:rPr>
          <w:rFonts w:ascii="Arial" w:hAnsi="Arial" w:cs="Arial"/>
          <w:color w:val="404040" w:themeColor="text1" w:themeTint="BF"/>
          <w:sz w:val="20"/>
          <w:lang w:val="en-GB"/>
        </w:rPr>
      </w:pPr>
      <w:r w:rsidRPr="00E406C5">
        <w:rPr>
          <w:rFonts w:ascii="Arial" w:hAnsi="Arial" w:cs="Arial"/>
          <w:color w:val="404040" w:themeColor="text1" w:themeTint="BF"/>
          <w:sz w:val="20"/>
          <w:lang w:val="en-GB"/>
        </w:rPr>
        <w:t>Accounting software and business systems technology</w:t>
      </w:r>
      <w:r>
        <w:rPr>
          <w:rFonts w:ascii="Arial" w:hAnsi="Arial" w:cs="Arial"/>
          <w:color w:val="404040" w:themeColor="text1" w:themeTint="BF"/>
          <w:sz w:val="20"/>
          <w:lang w:val="en-GB"/>
        </w:rPr>
        <w:t>.</w:t>
      </w:r>
    </w:p>
    <w:p w:rsidR="00E406C5" w:rsidP="00E406C5" w14:paraId="248AB2A0" w14:textId="7C5F21AE">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 xml:space="preserve">Task management, including reporting and compliance deadlines. </w:t>
      </w:r>
    </w:p>
    <w:p w:rsidR="00E406C5" w:rsidP="00E406C5" w14:paraId="291BA346" w14:textId="483D2BA8">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Sales, invoicing, receiving payments and accounts receivable management.</w:t>
      </w:r>
    </w:p>
    <w:p w:rsidR="00E406C5" w:rsidP="00E406C5" w14:paraId="1C969D1A" w14:textId="67678462">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Purchases, orders, bills, paying suppliers and accounts payable management.</w:t>
      </w:r>
    </w:p>
    <w:p w:rsidR="00E406C5" w:rsidP="00E406C5" w14:paraId="094E8636" w14:textId="6F72F45B">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Payroll processing and reporting.</w:t>
      </w:r>
    </w:p>
    <w:p w:rsidR="00E406C5" w:rsidP="00E406C5" w14:paraId="5830E900" w14:textId="77777777">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 xml:space="preserve">Bank transaction allocations and reconciliations. </w:t>
      </w:r>
    </w:p>
    <w:p w:rsidR="00E406C5" w:rsidP="00E406C5" w14:paraId="092488D6" w14:textId="4396060C">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Reconciliation of control accounts and other relevant balance sheet accounts.</w:t>
      </w:r>
    </w:p>
    <w:p w:rsidR="00E406C5" w:rsidP="00E406C5" w14:paraId="6D72CFED" w14:textId="18E36B74">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General journal entries.</w:t>
      </w:r>
    </w:p>
    <w:p w:rsidR="00E406C5" w:rsidRPr="00E406C5" w:rsidP="00E406C5" w14:paraId="2CF2DEEE" w14:textId="648B0043">
      <w:pPr>
        <w:pStyle w:val="ListParagraph"/>
        <w:numPr>
          <w:ilvl w:val="0"/>
          <w:numId w:val="26"/>
        </w:numPr>
        <w:rPr>
          <w:rFonts w:ascii="Arial" w:hAnsi="Arial" w:cs="Arial"/>
          <w:color w:val="404040" w:themeColor="text1" w:themeTint="BF"/>
          <w:sz w:val="20"/>
          <w:lang w:val="en-GB"/>
        </w:rPr>
      </w:pPr>
      <w:r>
        <w:rPr>
          <w:rFonts w:ascii="Arial" w:hAnsi="Arial" w:cs="Arial"/>
          <w:color w:val="404040" w:themeColor="text1" w:themeTint="BF"/>
          <w:sz w:val="20"/>
          <w:lang w:val="en-GB"/>
        </w:rPr>
        <w:t xml:space="preserve">Reporting according to business owner, ATO and other compliance requirements. </w:t>
      </w:r>
    </w:p>
    <w:p w:rsidR="00D90EB9" w:rsidP="00BF1A72" w14:paraId="79DF1674" w14:textId="77777777">
      <w:pPr>
        <w:rPr>
          <w:rFonts w:ascii="Arial" w:hAnsi="Arial" w:cs="Arial"/>
          <w:color w:val="006600"/>
          <w:sz w:val="24"/>
        </w:rPr>
      </w:pPr>
    </w:p>
    <w:p w:rsidR="00D90EB9" w:rsidRPr="00D90EB9" w:rsidP="00BF1A72" w14:paraId="41898A95" w14:textId="6D332690">
      <w:pPr>
        <w:rPr>
          <w:rFonts w:ascii="Arial" w:hAnsi="Arial" w:cs="Arial"/>
          <w:color w:val="006600"/>
          <w:sz w:val="28"/>
          <w:szCs w:val="28"/>
        </w:rPr>
      </w:pPr>
      <w:r w:rsidRPr="00D90EB9">
        <w:rPr>
          <w:rFonts w:ascii="Arial" w:hAnsi="Arial" w:cs="Arial"/>
          <w:color w:val="006600"/>
          <w:sz w:val="28"/>
          <w:szCs w:val="28"/>
        </w:rPr>
        <w:t>BEYOND THE BOOKKEEPING CYCLE</w:t>
      </w:r>
    </w:p>
    <w:p w:rsidR="004B7D50" w:rsidP="004B7D50" w14:paraId="744B552F" w14:textId="234BF1BD">
      <w:pPr>
        <w:rPr>
          <w:rFonts w:ascii="Arial" w:hAnsi="Arial" w:cs="Arial"/>
          <w:sz w:val="20"/>
          <w:lang w:val="en-GB"/>
        </w:rPr>
      </w:pPr>
      <w:r w:rsidRPr="004A0279">
        <w:rPr>
          <w:rFonts w:ascii="Arial" w:hAnsi="Arial" w:cs="Arial"/>
          <w:sz w:val="20"/>
          <w:lang w:val="en-GB"/>
        </w:rPr>
        <w:t>M</w:t>
      </w:r>
      <w:r w:rsidRPr="004A0279" w:rsidR="00054D0B">
        <w:rPr>
          <w:rFonts w:ascii="Arial" w:hAnsi="Arial" w:cs="Arial"/>
          <w:sz w:val="20"/>
          <w:lang w:val="en-GB"/>
        </w:rPr>
        <w:t>ost</w:t>
      </w:r>
      <w:r w:rsidRPr="004A0279">
        <w:rPr>
          <w:rFonts w:ascii="Arial" w:hAnsi="Arial" w:cs="Arial"/>
          <w:sz w:val="20"/>
          <w:lang w:val="en-GB"/>
        </w:rPr>
        <w:t xml:space="preserve"> accounting technicians</w:t>
      </w:r>
      <w:r w:rsidRPr="004A0279" w:rsidR="00054D0B">
        <w:rPr>
          <w:rFonts w:ascii="Arial" w:hAnsi="Arial" w:cs="Arial"/>
          <w:sz w:val="20"/>
          <w:lang w:val="en-GB"/>
        </w:rPr>
        <w:t xml:space="preserve"> plan to progress beyond </w:t>
      </w:r>
      <w:r w:rsidR="004A0279">
        <w:rPr>
          <w:rFonts w:ascii="Arial" w:hAnsi="Arial" w:cs="Arial"/>
          <w:sz w:val="20"/>
          <w:lang w:val="en-GB"/>
        </w:rPr>
        <w:t xml:space="preserve">basic </w:t>
      </w:r>
      <w:r w:rsidRPr="004A0279" w:rsidR="00054D0B">
        <w:rPr>
          <w:rFonts w:ascii="Arial" w:hAnsi="Arial" w:cs="Arial"/>
          <w:sz w:val="20"/>
          <w:lang w:val="en-GB"/>
        </w:rPr>
        <w:t xml:space="preserve">bookkeeping, although not all will become BAS agents. As an accounting technician becomes more familiar with a client's business, they become a trusted and valuable member of the owner's advisory team. The accounting technician is often involved in daily transactions and business operations and </w:t>
      </w:r>
      <w:r w:rsidRPr="004A0279" w:rsidR="00054D0B">
        <w:rPr>
          <w:rFonts w:ascii="Arial" w:hAnsi="Arial" w:cs="Arial"/>
          <w:sz w:val="20"/>
          <w:lang w:val="en-GB"/>
        </w:rPr>
        <w:t>is able to</w:t>
      </w:r>
      <w:r w:rsidRPr="004A0279" w:rsidR="00054D0B">
        <w:rPr>
          <w:rFonts w:ascii="Arial" w:hAnsi="Arial" w:cs="Arial"/>
          <w:sz w:val="20"/>
          <w:lang w:val="en-GB"/>
        </w:rPr>
        <w:t xml:space="preserve"> provide practical advice and insight to the business owner.</w:t>
      </w:r>
    </w:p>
    <w:p w:rsidR="00054D0B" w:rsidP="00054D0B" w14:paraId="384D1836" w14:textId="51831B37">
      <w:pPr>
        <w:rPr>
          <w:rFonts w:ascii="Arial" w:hAnsi="Arial" w:cs="Arial"/>
          <w:sz w:val="20"/>
          <w:lang w:val="en-GB"/>
        </w:rPr>
      </w:pPr>
      <w:r>
        <w:rPr>
          <w:rFonts w:ascii="Arial" w:hAnsi="Arial" w:cs="Arial"/>
          <w:sz w:val="20"/>
          <w:lang w:val="en-GB"/>
        </w:rPr>
        <w:t>Once a</w:t>
      </w:r>
      <w:r>
        <w:rPr>
          <w:rFonts w:ascii="Arial" w:hAnsi="Arial" w:cs="Arial"/>
          <w:sz w:val="20"/>
          <w:lang w:val="en-GB"/>
        </w:rPr>
        <w:t xml:space="preserve">n accounting technician </w:t>
      </w:r>
      <w:r>
        <w:rPr>
          <w:rFonts w:ascii="Arial" w:hAnsi="Arial" w:cs="Arial"/>
          <w:sz w:val="20"/>
          <w:lang w:val="en-GB"/>
        </w:rPr>
        <w:t xml:space="preserve">has become comfortable with the bookkeeping cycle </w:t>
      </w:r>
      <w:r>
        <w:rPr>
          <w:rFonts w:ascii="Arial" w:hAnsi="Arial" w:cs="Arial"/>
          <w:sz w:val="20"/>
          <w:lang w:val="en-GB"/>
        </w:rPr>
        <w:t>and is familiar with the accounting software, most will continue to learn about technology solutions and apps that will benefit their business clients. Understanding the business operations means that the accounting technician is in the perfect position to advise the owner about digital business, cyber security, streamlining systems, and generally improving the business's financial performance.</w:t>
      </w:r>
    </w:p>
    <w:p w:rsidR="00D90EB9" w:rsidP="00BF1A72" w14:paraId="719A6263" w14:textId="2DB7E52C">
      <w:pPr>
        <w:rPr>
          <w:rFonts w:ascii="Arial" w:hAnsi="Arial" w:cs="Arial"/>
          <w:color w:val="006600"/>
          <w:sz w:val="24"/>
        </w:rPr>
      </w:pPr>
      <w:r>
        <w:rPr>
          <w:rFonts w:ascii="Arial" w:hAnsi="Arial" w:cs="Arial"/>
          <w:color w:val="006600"/>
          <w:sz w:val="24"/>
        </w:rPr>
        <w:t>BAS Agent</w:t>
      </w:r>
    </w:p>
    <w:p w:rsidR="00054D0B" w:rsidP="00BF1A72" w14:paraId="02DF9ACF" w14:textId="1C014D3C">
      <w:pPr>
        <w:rPr>
          <w:rFonts w:ascii="Arial" w:hAnsi="Arial" w:cs="Arial"/>
          <w:sz w:val="20"/>
          <w:lang w:val="en-GB"/>
        </w:rPr>
      </w:pPr>
      <w:r>
        <w:rPr>
          <w:rFonts w:ascii="Arial" w:hAnsi="Arial" w:cs="Arial"/>
          <w:sz w:val="20"/>
          <w:lang w:val="en-GB"/>
        </w:rPr>
        <w:t>Once qualified, bookkeepers must gain at least 1,000 hours of relevant experience under a registered agent’s supervision before applying for registration as a BAS agent.</w:t>
      </w:r>
    </w:p>
    <w:p w:rsidR="00D90EB9" w:rsidRPr="00D9051B" w:rsidP="00BF1A72" w14:paraId="5D96B532" w14:textId="4079BF0A">
      <w:pPr>
        <w:rPr>
          <w:rFonts w:ascii="Arial" w:hAnsi="Arial" w:cs="Arial"/>
          <w:sz w:val="20"/>
          <w:lang w:val="en-GB"/>
        </w:rPr>
      </w:pPr>
      <w:r>
        <w:rPr>
          <w:rFonts w:ascii="Arial" w:hAnsi="Arial" w:cs="Arial"/>
          <w:sz w:val="20"/>
          <w:lang w:val="en-GB"/>
        </w:rPr>
        <w:t xml:space="preserve">Once registered, a BAS agent can then provide BAS services such as </w:t>
      </w:r>
      <w:r w:rsidR="00D9051B">
        <w:rPr>
          <w:rFonts w:ascii="Arial" w:hAnsi="Arial" w:cs="Arial"/>
          <w:sz w:val="20"/>
          <w:lang w:val="en-GB"/>
        </w:rPr>
        <w:t>superannuation, PAYGW, activity statements, taxable payments reporting and other BAS services.</w:t>
      </w:r>
    </w:p>
    <w:p w:rsidR="00BF1A72" w:rsidRPr="00BB2AA3" w:rsidP="00BF1A72" w14:paraId="42D74D32" w14:textId="135E5150">
      <w:pPr>
        <w:rPr>
          <w:rFonts w:ascii="Arial" w:hAnsi="Arial" w:cs="Arial"/>
          <w:color w:val="006600"/>
          <w:sz w:val="24"/>
        </w:rPr>
      </w:pPr>
      <w:r>
        <w:rPr>
          <w:rFonts w:ascii="Arial" w:hAnsi="Arial" w:cs="Arial"/>
          <w:color w:val="006600"/>
          <w:sz w:val="24"/>
        </w:rPr>
        <w:t>A</w:t>
      </w:r>
      <w:r w:rsidR="00D90EB9">
        <w:rPr>
          <w:rFonts w:ascii="Arial" w:hAnsi="Arial" w:cs="Arial"/>
          <w:color w:val="006600"/>
          <w:sz w:val="24"/>
        </w:rPr>
        <w:t>dvisory Services</w:t>
      </w:r>
      <w:r w:rsidRPr="00BB2AA3">
        <w:rPr>
          <w:rFonts w:ascii="Arial" w:hAnsi="Arial" w:cs="Arial"/>
          <w:color w:val="006600"/>
          <w:sz w:val="24"/>
        </w:rPr>
        <w:t xml:space="preserve"> </w:t>
      </w:r>
    </w:p>
    <w:p w:rsidR="00BF1A72" w:rsidP="00BB2AA3" w14:paraId="21EE0234" w14:textId="297C5FF3">
      <w:pPr>
        <w:rPr>
          <w:rFonts w:ascii="Arial" w:hAnsi="Arial" w:cs="Arial"/>
          <w:sz w:val="20"/>
          <w:lang w:val="en-GB"/>
        </w:rPr>
      </w:pPr>
      <w:r>
        <w:rPr>
          <w:rFonts w:ascii="Arial" w:hAnsi="Arial" w:cs="Arial"/>
          <w:sz w:val="20"/>
          <w:lang w:val="en-GB"/>
        </w:rPr>
        <w:t xml:space="preserve">Many </w:t>
      </w:r>
      <w:r w:rsidR="00D9051B">
        <w:rPr>
          <w:rFonts w:ascii="Arial" w:hAnsi="Arial" w:cs="Arial"/>
          <w:sz w:val="20"/>
          <w:lang w:val="en-GB"/>
        </w:rPr>
        <w:t>BAS agents</w:t>
      </w:r>
      <w:r>
        <w:rPr>
          <w:rFonts w:ascii="Arial" w:hAnsi="Arial" w:cs="Arial"/>
          <w:sz w:val="20"/>
          <w:lang w:val="en-GB"/>
        </w:rPr>
        <w:t xml:space="preserve"> will naturally want to evolve their work into offering a</w:t>
      </w:r>
      <w:r w:rsidR="00FC6556">
        <w:rPr>
          <w:rFonts w:ascii="Arial" w:hAnsi="Arial" w:cs="Arial"/>
          <w:sz w:val="20"/>
          <w:lang w:val="en-GB"/>
        </w:rPr>
        <w:t xml:space="preserve">dvisory </w:t>
      </w:r>
      <w:r>
        <w:rPr>
          <w:rFonts w:ascii="Arial" w:hAnsi="Arial" w:cs="Arial"/>
          <w:sz w:val="20"/>
          <w:lang w:val="en-GB"/>
        </w:rPr>
        <w:t xml:space="preserve">services. This </w:t>
      </w:r>
      <w:r w:rsidR="004A0279">
        <w:rPr>
          <w:rFonts w:ascii="Arial" w:hAnsi="Arial" w:cs="Arial"/>
          <w:sz w:val="20"/>
          <w:lang w:val="en-GB"/>
        </w:rPr>
        <w:t>c</w:t>
      </w:r>
      <w:r>
        <w:rPr>
          <w:rFonts w:ascii="Arial" w:hAnsi="Arial" w:cs="Arial"/>
          <w:sz w:val="20"/>
          <w:lang w:val="en-GB"/>
        </w:rPr>
        <w:t xml:space="preserve">ould </w:t>
      </w:r>
      <w:r w:rsidR="004A0279">
        <w:rPr>
          <w:rFonts w:ascii="Arial" w:hAnsi="Arial" w:cs="Arial"/>
          <w:sz w:val="20"/>
          <w:lang w:val="en-GB"/>
        </w:rPr>
        <w:t xml:space="preserve">involve services such as cyber security advice, transitioning to digital business, setting up online shops, integrating accounting software with specialised add-on solutions and cash flow forecasting. </w:t>
      </w:r>
    </w:p>
    <w:p w:rsidR="00896CD4" w:rsidRPr="00BB2AA3" w:rsidP="00BB2AA3" w14:paraId="1795DDFB" w14:textId="6B71AA37">
      <w:pPr>
        <w:rPr>
          <w:rFonts w:ascii="Arial" w:hAnsi="Arial" w:cs="Arial"/>
          <w:sz w:val="20"/>
          <w:lang w:val="en-GB"/>
        </w:rPr>
      </w:pPr>
    </w:p>
    <w:p w:rsidR="00896CD4" w:rsidRPr="00BB2AA3" w:rsidP="00BB2AA3" w14:paraId="029BFD7D" w14:textId="3558617A">
      <w:pPr>
        <w:rPr>
          <w:rFonts w:ascii="Arial" w:hAnsi="Arial" w:cs="Arial"/>
          <w:sz w:val="20"/>
          <w:lang w:val="en-GB"/>
        </w:rPr>
      </w:pPr>
    </w:p>
    <w:p w:rsidR="00896CD4" w:rsidRPr="004B7D50" w:rsidP="00BB2AA3" w14:paraId="2343DD49" w14:textId="336B13AF">
      <w:pPr>
        <w:rPr>
          <w:rFonts w:ascii="Arial" w:hAnsi="Arial" w:cs="Arial"/>
          <w:sz w:val="28"/>
          <w:szCs w:val="28"/>
        </w:rPr>
      </w:pPr>
      <w:r w:rsidRPr="004B7D50">
        <w:rPr>
          <w:rFonts w:ascii="Arial" w:hAnsi="Arial" w:cs="Arial"/>
          <w:color w:val="006600"/>
          <w:sz w:val="28"/>
          <w:szCs w:val="28"/>
        </w:rPr>
        <w:t xml:space="preserve">THE </w:t>
      </w:r>
      <w:r w:rsidR="00B01A00">
        <w:rPr>
          <w:rFonts w:ascii="Arial" w:hAnsi="Arial" w:cs="Arial"/>
          <w:color w:val="006600"/>
          <w:sz w:val="28"/>
          <w:szCs w:val="28"/>
        </w:rPr>
        <w:t>REPORTING</w:t>
      </w:r>
      <w:r w:rsidRPr="004B7D50">
        <w:rPr>
          <w:rFonts w:ascii="Arial" w:hAnsi="Arial" w:cs="Arial"/>
          <w:color w:val="006600"/>
          <w:sz w:val="28"/>
          <w:szCs w:val="28"/>
        </w:rPr>
        <w:t xml:space="preserve"> CYCLE</w:t>
      </w:r>
    </w:p>
    <w:p w:rsidR="00896CD4" w:rsidRPr="00BB2AA3" w:rsidP="00BB2AA3" w14:paraId="2AD17D5B" w14:textId="41C2C35C">
      <w:pPr>
        <w:rPr>
          <w:rFonts w:ascii="Arial" w:hAnsi="Arial" w:cs="Arial"/>
          <w:sz w:val="20"/>
          <w:lang w:val="en-GB"/>
        </w:rPr>
      </w:pPr>
    </w:p>
    <w:p w:rsidR="00896CD4" w:rsidRPr="00BB2AA3" w:rsidP="00BB2AA3" w14:paraId="67CD6CD9" w14:textId="10E3756B">
      <w:pPr>
        <w:rPr>
          <w:rFonts w:ascii="Arial" w:hAnsi="Arial" w:cs="Arial"/>
          <w:sz w:val="20"/>
          <w:lang w:val="en-GB"/>
        </w:rPr>
      </w:pPr>
      <w:r w:rsidRPr="00BB2AA3">
        <w:rPr>
          <w:rFonts w:ascii="Arial" w:hAnsi="Arial" w:cs="Arial"/>
          <w:noProof/>
          <w:sz w:val="20"/>
          <w:lang w:val="en-AU" w:eastAsia="en-AU"/>
        </w:rPr>
        <w:drawing>
          <wp:inline distT="0" distB="0" distL="0" distR="0">
            <wp:extent cx="6140450" cy="3937000"/>
            <wp:effectExtent l="0" t="0" r="0" b="127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96CD4" w:rsidRPr="00BB2AA3" w:rsidP="00BB2AA3" w14:paraId="011C3555" w14:textId="51306B23">
      <w:pPr>
        <w:rPr>
          <w:rFonts w:ascii="Arial" w:hAnsi="Arial" w:cs="Arial"/>
          <w:sz w:val="20"/>
          <w:lang w:val="en-GB"/>
        </w:rPr>
      </w:pPr>
    </w:p>
    <w:p w:rsidR="00B01A00" w:rsidP="00BB2AA3" w14:paraId="726A23AE" w14:textId="2C967369">
      <w:pPr>
        <w:rPr>
          <w:rFonts w:ascii="Arial" w:hAnsi="Arial" w:cs="Arial"/>
          <w:sz w:val="20"/>
          <w:lang w:val="en-GB"/>
        </w:rPr>
      </w:pPr>
      <w:r>
        <w:rPr>
          <w:rFonts w:ascii="Arial" w:hAnsi="Arial" w:cs="Arial"/>
          <w:sz w:val="20"/>
          <w:lang w:val="en-GB"/>
        </w:rPr>
        <w:t xml:space="preserve">Financial reporting is key to a bookkeeper’s role. </w:t>
      </w:r>
    </w:p>
    <w:p w:rsidR="002206B4" w:rsidP="00B01A00" w14:paraId="6212E58A" w14:textId="426496B2">
      <w:pPr>
        <w:rPr>
          <w:rFonts w:ascii="Arial" w:hAnsi="Arial" w:cs="Arial"/>
          <w:sz w:val="20"/>
          <w:lang w:val="en-GB"/>
        </w:rPr>
      </w:pPr>
      <w:r>
        <w:rPr>
          <w:rFonts w:ascii="Arial" w:hAnsi="Arial" w:cs="Arial"/>
          <w:sz w:val="20"/>
          <w:lang w:val="en-GB"/>
        </w:rPr>
        <w:t>W</w:t>
      </w:r>
      <w:r w:rsidRPr="00BB2AA3">
        <w:rPr>
          <w:rFonts w:ascii="Arial" w:hAnsi="Arial" w:cs="Arial"/>
          <w:sz w:val="20"/>
          <w:lang w:val="en-GB"/>
        </w:rPr>
        <w:t>ithout accurate transactional data</w:t>
      </w:r>
      <w:r>
        <w:rPr>
          <w:rFonts w:ascii="Arial" w:hAnsi="Arial" w:cs="Arial"/>
          <w:sz w:val="20"/>
          <w:lang w:val="en-GB"/>
        </w:rPr>
        <w:t xml:space="preserve">, </w:t>
      </w:r>
      <w:r w:rsidRPr="00BB2AA3">
        <w:rPr>
          <w:rFonts w:ascii="Arial" w:hAnsi="Arial" w:cs="Arial"/>
          <w:sz w:val="20"/>
          <w:lang w:val="en-GB"/>
        </w:rPr>
        <w:t xml:space="preserve">financial reports cannot be produced or relied upon. </w:t>
      </w:r>
      <w:r>
        <w:rPr>
          <w:rFonts w:ascii="Arial" w:hAnsi="Arial" w:cs="Arial"/>
          <w:sz w:val="20"/>
          <w:lang w:val="en-GB"/>
        </w:rPr>
        <w:t xml:space="preserve">Recording and classifying the data requires verification of the general ledger account values in the accounting software. It’s not enough to rely on the data in the software without knowing how to validate the data or understand the big picture of what the financial reports are telling you. </w:t>
      </w:r>
    </w:p>
    <w:p w:rsidR="00B01A00" w:rsidP="00B01A00" w14:paraId="40C0C1F7" w14:textId="1DF52ED8">
      <w:pPr>
        <w:rPr>
          <w:rFonts w:ascii="Arial" w:hAnsi="Arial" w:cs="Arial"/>
          <w:sz w:val="20"/>
          <w:lang w:val="en-GB"/>
        </w:rPr>
      </w:pPr>
      <w:r>
        <w:rPr>
          <w:rFonts w:ascii="Arial" w:hAnsi="Arial" w:cs="Arial"/>
          <w:sz w:val="20"/>
          <w:lang w:val="en-GB"/>
        </w:rPr>
        <w:t xml:space="preserve">When you are new to bookkeeping, understanding the financial reports may be difficult. Over time, and with good training and mentoring, you will come to understand the story the financial reports are telling you so that you can advise business owners and help them better understand their business performance. </w:t>
      </w:r>
    </w:p>
    <w:p w:rsidR="00B01A00" w:rsidP="00B01A00" w14:paraId="10619345" w14:textId="4DEB317C">
      <w:pPr>
        <w:rPr>
          <w:rFonts w:ascii="Arial" w:hAnsi="Arial" w:cs="Arial"/>
          <w:sz w:val="20"/>
          <w:lang w:val="en-GB"/>
        </w:rPr>
      </w:pPr>
      <w:r>
        <w:rPr>
          <w:rFonts w:ascii="Arial" w:hAnsi="Arial" w:cs="Arial"/>
          <w:sz w:val="20"/>
          <w:lang w:val="en-GB"/>
        </w:rPr>
        <w:t xml:space="preserve">You need to produce accurate reports, pick up errors or questionable values on financial reports, and know how to fix any issues. Most small business owners do not know how to read financial reports or pick up mistakes or inconsistencies, which means they rely on you to </w:t>
      </w:r>
      <w:r w:rsidR="002206B4">
        <w:rPr>
          <w:rFonts w:ascii="Arial" w:hAnsi="Arial" w:cs="Arial"/>
          <w:sz w:val="20"/>
          <w:lang w:val="en-GB"/>
        </w:rPr>
        <w:t xml:space="preserve">help </w:t>
      </w:r>
      <w:r>
        <w:rPr>
          <w:rFonts w:ascii="Arial" w:hAnsi="Arial" w:cs="Arial"/>
          <w:sz w:val="20"/>
          <w:lang w:val="en-GB"/>
        </w:rPr>
        <w:t xml:space="preserve">them </w:t>
      </w:r>
      <w:r w:rsidR="002206B4">
        <w:rPr>
          <w:rFonts w:ascii="Arial" w:hAnsi="Arial" w:cs="Arial"/>
          <w:sz w:val="20"/>
          <w:lang w:val="en-GB"/>
        </w:rPr>
        <w:t>appreciat</w:t>
      </w:r>
      <w:r>
        <w:rPr>
          <w:rFonts w:ascii="Arial" w:hAnsi="Arial" w:cs="Arial"/>
          <w:sz w:val="20"/>
          <w:lang w:val="en-GB"/>
        </w:rPr>
        <w:t xml:space="preserve">e their financial position. Not only do you need to know how to produce and read financial reports, </w:t>
      </w:r>
      <w:r w:rsidR="002206B4">
        <w:rPr>
          <w:rFonts w:ascii="Arial" w:hAnsi="Arial" w:cs="Arial"/>
          <w:sz w:val="20"/>
          <w:lang w:val="en-GB"/>
        </w:rPr>
        <w:t>but you also</w:t>
      </w:r>
      <w:r>
        <w:rPr>
          <w:rFonts w:ascii="Arial" w:hAnsi="Arial" w:cs="Arial"/>
          <w:sz w:val="20"/>
          <w:lang w:val="en-GB"/>
        </w:rPr>
        <w:t xml:space="preserve"> need to be able to explain the information to the business owner in language they can understand.</w:t>
      </w:r>
    </w:p>
    <w:p w:rsidR="00896CD4" w:rsidRPr="00BB2AA3" w:rsidP="00BB2AA3" w14:paraId="498AF36F" w14:textId="36EA08E8">
      <w:pPr>
        <w:rPr>
          <w:rFonts w:ascii="Arial" w:hAnsi="Arial" w:cs="Arial"/>
          <w:sz w:val="20"/>
          <w:lang w:val="en-GB"/>
        </w:rPr>
      </w:pPr>
      <w:r w:rsidRPr="00BB2AA3">
        <w:rPr>
          <w:rFonts w:ascii="Arial" w:hAnsi="Arial" w:cs="Arial"/>
          <w:sz w:val="20"/>
          <w:lang w:val="en-GB"/>
        </w:rPr>
        <w:t>The job of a</w:t>
      </w:r>
      <w:r w:rsidR="002317E3">
        <w:rPr>
          <w:rFonts w:ascii="Arial" w:hAnsi="Arial" w:cs="Arial"/>
          <w:sz w:val="20"/>
          <w:lang w:val="en-GB"/>
        </w:rPr>
        <w:t xml:space="preserve">n accounting technician </w:t>
      </w:r>
      <w:r w:rsidRPr="00BB2AA3">
        <w:rPr>
          <w:rFonts w:ascii="Arial" w:hAnsi="Arial" w:cs="Arial"/>
          <w:sz w:val="20"/>
          <w:lang w:val="en-GB"/>
        </w:rPr>
        <w:t>is vital to your client</w:t>
      </w:r>
      <w:r w:rsidR="00187E1E">
        <w:rPr>
          <w:rFonts w:ascii="Arial" w:hAnsi="Arial" w:cs="Arial"/>
          <w:sz w:val="20"/>
          <w:lang w:val="en-GB"/>
        </w:rPr>
        <w:t>s' success,</w:t>
      </w:r>
      <w:r w:rsidRPr="00BB2AA3">
        <w:rPr>
          <w:rFonts w:ascii="Arial" w:hAnsi="Arial" w:cs="Arial"/>
          <w:sz w:val="20"/>
          <w:lang w:val="en-GB"/>
        </w:rPr>
        <w:t xml:space="preserve"> as </w:t>
      </w:r>
      <w:r w:rsidRPr="00BB2AA3" w:rsidR="00250882">
        <w:rPr>
          <w:rFonts w:ascii="Arial" w:hAnsi="Arial" w:cs="Arial"/>
          <w:sz w:val="20"/>
          <w:lang w:val="en-GB"/>
        </w:rPr>
        <w:t xml:space="preserve">providing </w:t>
      </w:r>
      <w:r w:rsidRPr="00BB2AA3">
        <w:rPr>
          <w:rFonts w:ascii="Arial" w:hAnsi="Arial" w:cs="Arial"/>
          <w:sz w:val="20"/>
          <w:lang w:val="en-GB"/>
        </w:rPr>
        <w:t>accurate and timely information allows a business owner to make the right decisions</w:t>
      </w:r>
      <w:r w:rsidRPr="00BB2AA3" w:rsidR="00250882">
        <w:rPr>
          <w:rFonts w:ascii="Arial" w:hAnsi="Arial" w:cs="Arial"/>
          <w:sz w:val="20"/>
          <w:lang w:val="en-GB"/>
        </w:rPr>
        <w:t xml:space="preserve"> at the right time</w:t>
      </w:r>
      <w:r w:rsidR="00B01A00">
        <w:rPr>
          <w:rFonts w:ascii="Arial" w:hAnsi="Arial" w:cs="Arial"/>
          <w:sz w:val="20"/>
          <w:lang w:val="en-GB"/>
        </w:rPr>
        <w:t xml:space="preserve"> to benefit their business.</w:t>
      </w:r>
    </w:p>
    <w:sectPr>
      <w:headerReference w:type="default" r:id="rId11"/>
      <w:pgSz w:w="12240" w:h="15840" w:code="1"/>
      <w:pgMar w:top="1440" w:right="1440" w:bottom="1440" w:left="1440"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979" w:rsidRPr="002B4714" w:rsidP="002B4714" w14:paraId="49B06D45" w14:textId="657B7149">
    <w:pPr>
      <w:pStyle w:val="Header"/>
    </w:pPr>
    <w:r>
      <w:rPr>
        <w:noProof/>
        <w:lang w:val="en-AU" w:eastAsia="en-AU"/>
      </w:rPr>
      <w:drawing>
        <wp:anchor distT="0" distB="0" distL="114300" distR="114300" simplePos="0" relativeHeight="251658240" behindDoc="1" locked="0" layoutInCell="1" allowOverlap="1">
          <wp:simplePos x="0" y="0"/>
          <wp:positionH relativeFrom="column">
            <wp:posOffset>-905510</wp:posOffset>
          </wp:positionH>
          <wp:positionV relativeFrom="paragraph">
            <wp:posOffset>-457200</wp:posOffset>
          </wp:positionV>
          <wp:extent cx="7758430" cy="1476375"/>
          <wp:effectExtent l="0" t="0" r="0" b="9525"/>
          <wp:wrapTight wrapText="bothSides">
            <wp:wrapPolygon>
              <wp:start x="0" y="0"/>
              <wp:lineTo x="0" y="21461"/>
              <wp:lineTo x="21533" y="21461"/>
              <wp:lineTo x="215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_AAT_PrintHeader.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58430" cy="147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003F2BB9"/>
    <w:multiLevelType w:val="hybridMultilevel"/>
    <w:tmpl w:val="02EA0E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B155D3"/>
    <w:multiLevelType w:val="hybridMultilevel"/>
    <w:tmpl w:val="FBAED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BD582D"/>
    <w:multiLevelType w:val="hybridMultilevel"/>
    <w:tmpl w:val="E36C5F02"/>
    <w:lvl w:ilvl="0">
      <w:start w:val="1"/>
      <w:numFmt w:val="decimal"/>
      <w:pStyle w:val="Heading2"/>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730609"/>
    <w:multiLevelType w:val="hybridMultilevel"/>
    <w:tmpl w:val="66B212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30066C"/>
    <w:multiLevelType w:val="hybridMultilevel"/>
    <w:tmpl w:val="D0A606A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7573AA"/>
    <w:multiLevelType w:val="hybridMultilevel"/>
    <w:tmpl w:val="43B4B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9C0297"/>
    <w:multiLevelType w:val="hybridMultilevel"/>
    <w:tmpl w:val="14181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3B0A38"/>
    <w:multiLevelType w:val="hybridMultilevel"/>
    <w:tmpl w:val="8E0AB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8B0326"/>
    <w:multiLevelType w:val="hybridMultilevel"/>
    <w:tmpl w:val="D8780D7E"/>
    <w:lvl w:ilvl="0">
      <w:start w:val="1"/>
      <w:numFmt w:val="decimal"/>
      <w:lvlText w:val="%1)"/>
      <w:lvlJc w:val="left"/>
      <w:pPr>
        <w:ind w:left="720" w:hanging="360"/>
      </w:pPr>
      <w:rPr>
        <w:rFonts w:hint="default"/>
        <w:color w:val="435D20" w:themeColor="accent2" w:themeShade="8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711ACF"/>
    <w:multiLevelType w:val="hybridMultilevel"/>
    <w:tmpl w:val="DDB8887C"/>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51207A"/>
    <w:multiLevelType w:val="hybridMultilevel"/>
    <w:tmpl w:val="66B212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76337E"/>
    <w:multiLevelType w:val="hybridMultilevel"/>
    <w:tmpl w:val="5DF85A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9EB199D"/>
    <w:multiLevelType w:val="hybridMultilevel"/>
    <w:tmpl w:val="F18C2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C709AB"/>
    <w:multiLevelType w:val="hybridMultilevel"/>
    <w:tmpl w:val="29841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9931D1"/>
    <w:multiLevelType w:val="hybridMultilevel"/>
    <w:tmpl w:val="5674083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3B195A"/>
    <w:multiLevelType w:val="hybridMultilevel"/>
    <w:tmpl w:val="FADC66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AB3884"/>
    <w:multiLevelType w:val="hybridMultilevel"/>
    <w:tmpl w:val="2C1A69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F124A"/>
    <w:multiLevelType w:val="hybridMultilevel"/>
    <w:tmpl w:val="FADC66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EF489C"/>
    <w:multiLevelType w:val="hybridMultilevel"/>
    <w:tmpl w:val="BCA47D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D710904"/>
    <w:multiLevelType w:val="hybridMultilevel"/>
    <w:tmpl w:val="2C0AC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E63C15"/>
    <w:multiLevelType w:val="hybridMultilevel"/>
    <w:tmpl w:val="655AB38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57E5D71"/>
    <w:multiLevelType w:val="hybridMultilevel"/>
    <w:tmpl w:val="BFBE56B6"/>
    <w:lvl w:ilvl="0">
      <w:start w:val="1"/>
      <w:numFmt w:val="bullet"/>
      <w:pStyle w:val="ListBullet"/>
      <w:lvlText w:val=""/>
      <w:lvlJc w:val="left"/>
      <w:pPr>
        <w:tabs>
          <w:tab w:val="num" w:pos="360"/>
        </w:tabs>
        <w:ind w:left="432" w:hanging="288"/>
      </w:pPr>
      <w:rPr>
        <w:rFonts w:ascii="Symbol" w:hAnsi="Symbol" w:hint="default"/>
        <w:color w:val="5B9BD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90745F"/>
    <w:multiLevelType w:val="hybridMultilevel"/>
    <w:tmpl w:val="1A4651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586773"/>
    <w:multiLevelType w:val="hybridMultilevel"/>
    <w:tmpl w:val="F78EA5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2"/>
  </w:num>
  <w:num w:numId="3">
    <w:abstractNumId w:val="22"/>
    <w:lvlOverride w:ilvl="0">
      <w:startOverride w:val="1"/>
    </w:lvlOverride>
  </w:num>
  <w:num w:numId="4">
    <w:abstractNumId w:val="3"/>
  </w:num>
  <w:num w:numId="5">
    <w:abstractNumId w:val="10"/>
  </w:num>
  <w:num w:numId="6">
    <w:abstractNumId w:val="15"/>
  </w:num>
  <w:num w:numId="7">
    <w:abstractNumId w:val="17"/>
  </w:num>
  <w:num w:numId="8">
    <w:abstractNumId w:val="23"/>
  </w:num>
  <w:num w:numId="9">
    <w:abstractNumId w:val="6"/>
  </w:num>
  <w:num w:numId="10">
    <w:abstractNumId w:val="13"/>
  </w:num>
  <w:num w:numId="11">
    <w:abstractNumId w:val="2"/>
  </w:num>
  <w:num w:numId="12">
    <w:abstractNumId w:val="20"/>
  </w:num>
  <w:num w:numId="13">
    <w:abstractNumId w:val="11"/>
  </w:num>
  <w:num w:numId="14">
    <w:abstractNumId w:val="4"/>
  </w:num>
  <w:num w:numId="15">
    <w:abstractNumId w:val="24"/>
  </w:num>
  <w:num w:numId="16">
    <w:abstractNumId w:val="16"/>
  </w:num>
  <w:num w:numId="17">
    <w:abstractNumId w:val="12"/>
  </w:num>
  <w:num w:numId="18">
    <w:abstractNumId w:val="18"/>
  </w:num>
  <w:num w:numId="19">
    <w:abstractNumId w:val="19"/>
  </w:num>
  <w:num w:numId="20">
    <w:abstractNumId w:val="5"/>
  </w:num>
  <w:num w:numId="21">
    <w:abstractNumId w:val="8"/>
  </w:num>
  <w:num w:numId="22">
    <w:abstractNumId w:val="7"/>
  </w:num>
  <w:num w:numId="23">
    <w:abstractNumId w:val="1"/>
  </w:num>
  <w:num w:numId="24">
    <w:abstractNumId w:val="9"/>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5B"/>
    <w:rsid w:val="00040CF3"/>
    <w:rsid w:val="00054D0B"/>
    <w:rsid w:val="000861E5"/>
    <w:rsid w:val="000B1039"/>
    <w:rsid w:val="000F17D3"/>
    <w:rsid w:val="000F45F7"/>
    <w:rsid w:val="00177E1A"/>
    <w:rsid w:val="00187E1E"/>
    <w:rsid w:val="002206B4"/>
    <w:rsid w:val="00226364"/>
    <w:rsid w:val="002317E3"/>
    <w:rsid w:val="00234A08"/>
    <w:rsid w:val="00245386"/>
    <w:rsid w:val="00250882"/>
    <w:rsid w:val="00262D3C"/>
    <w:rsid w:val="0026645B"/>
    <w:rsid w:val="002A59EC"/>
    <w:rsid w:val="002B4714"/>
    <w:rsid w:val="002F42E9"/>
    <w:rsid w:val="00315037"/>
    <w:rsid w:val="00315F4E"/>
    <w:rsid w:val="00316C62"/>
    <w:rsid w:val="00325C7B"/>
    <w:rsid w:val="0035436F"/>
    <w:rsid w:val="00386C75"/>
    <w:rsid w:val="003A48F1"/>
    <w:rsid w:val="003E5D2B"/>
    <w:rsid w:val="004157A7"/>
    <w:rsid w:val="00440A9B"/>
    <w:rsid w:val="00441CEA"/>
    <w:rsid w:val="00443180"/>
    <w:rsid w:val="00450911"/>
    <w:rsid w:val="004615B7"/>
    <w:rsid w:val="004A0279"/>
    <w:rsid w:val="004A4F4A"/>
    <w:rsid w:val="004B7D50"/>
    <w:rsid w:val="004C6874"/>
    <w:rsid w:val="004D0F41"/>
    <w:rsid w:val="004E5768"/>
    <w:rsid w:val="004F03BA"/>
    <w:rsid w:val="004F1B06"/>
    <w:rsid w:val="00547D56"/>
    <w:rsid w:val="00555095"/>
    <w:rsid w:val="00594FFB"/>
    <w:rsid w:val="005A4D1F"/>
    <w:rsid w:val="005B3291"/>
    <w:rsid w:val="005C0721"/>
    <w:rsid w:val="005C47E0"/>
    <w:rsid w:val="005C7674"/>
    <w:rsid w:val="005D6AB7"/>
    <w:rsid w:val="005E33CD"/>
    <w:rsid w:val="00603909"/>
    <w:rsid w:val="00613BBC"/>
    <w:rsid w:val="006176B1"/>
    <w:rsid w:val="00681AF5"/>
    <w:rsid w:val="006839EE"/>
    <w:rsid w:val="0069558B"/>
    <w:rsid w:val="00701355"/>
    <w:rsid w:val="00784C27"/>
    <w:rsid w:val="007C0DB8"/>
    <w:rsid w:val="007F6505"/>
    <w:rsid w:val="00805E33"/>
    <w:rsid w:val="00820B05"/>
    <w:rsid w:val="00843EF2"/>
    <w:rsid w:val="00877F2F"/>
    <w:rsid w:val="00896CD4"/>
    <w:rsid w:val="008D0DBA"/>
    <w:rsid w:val="008F20EE"/>
    <w:rsid w:val="008F5DC7"/>
    <w:rsid w:val="009029FC"/>
    <w:rsid w:val="00936ED3"/>
    <w:rsid w:val="009A3CC8"/>
    <w:rsid w:val="009D1FB9"/>
    <w:rsid w:val="00A05C7A"/>
    <w:rsid w:val="00A22F10"/>
    <w:rsid w:val="00A23F9E"/>
    <w:rsid w:val="00A33D4A"/>
    <w:rsid w:val="00A4002D"/>
    <w:rsid w:val="00A5738A"/>
    <w:rsid w:val="00A61EA0"/>
    <w:rsid w:val="00A90E11"/>
    <w:rsid w:val="00AA2A59"/>
    <w:rsid w:val="00AC6F30"/>
    <w:rsid w:val="00AE2D04"/>
    <w:rsid w:val="00B01A00"/>
    <w:rsid w:val="00B04E8E"/>
    <w:rsid w:val="00B24E0B"/>
    <w:rsid w:val="00BB2AA3"/>
    <w:rsid w:val="00BB6C97"/>
    <w:rsid w:val="00BF1A72"/>
    <w:rsid w:val="00C034DE"/>
    <w:rsid w:val="00C13F3A"/>
    <w:rsid w:val="00C22F55"/>
    <w:rsid w:val="00C30125"/>
    <w:rsid w:val="00C40C12"/>
    <w:rsid w:val="00CE7E28"/>
    <w:rsid w:val="00D41B18"/>
    <w:rsid w:val="00D51944"/>
    <w:rsid w:val="00D61958"/>
    <w:rsid w:val="00D65DB7"/>
    <w:rsid w:val="00D67F92"/>
    <w:rsid w:val="00D9051B"/>
    <w:rsid w:val="00D90EB9"/>
    <w:rsid w:val="00DA1590"/>
    <w:rsid w:val="00DC647F"/>
    <w:rsid w:val="00DF4CDB"/>
    <w:rsid w:val="00E011B9"/>
    <w:rsid w:val="00E131E7"/>
    <w:rsid w:val="00E24064"/>
    <w:rsid w:val="00E406C5"/>
    <w:rsid w:val="00E57427"/>
    <w:rsid w:val="00E81712"/>
    <w:rsid w:val="00EA271A"/>
    <w:rsid w:val="00EA6CFF"/>
    <w:rsid w:val="00F1603E"/>
    <w:rsid w:val="00F75B62"/>
    <w:rsid w:val="00F75D99"/>
    <w:rsid w:val="00F95979"/>
    <w:rsid w:val="00FB4140"/>
    <w:rsid w:val="00FC6556"/>
    <w:rsid w:val="00FF7A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A5F92C"/>
  <w15:chartTrackingRefBased/>
  <w15:docId w15:val="{B955B91B-91CF-424C-AABB-324B149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7D56"/>
    <w:pPr>
      <w:pBdr>
        <w:left w:val="double" w:sz="18" w:space="4" w:color="1F4E79" w:themeColor="accent1" w:themeShade="80"/>
      </w:pBdr>
      <w:spacing w:after="0" w:line="420" w:lineRule="exact"/>
    </w:pPr>
    <w:rPr>
      <w:rFonts w:asciiTheme="majorHAnsi" w:eastAsiaTheme="majorEastAsia" w:hAnsiTheme="majorHAnsi" w:cstheme="majorBidi"/>
      <w:caps/>
      <w:color w:val="648C30" w:themeColor="accent2" w:themeShade="BF"/>
      <w:kern w:val="28"/>
      <w:sz w:val="38"/>
    </w:rPr>
  </w:style>
  <w:style w:type="character" w:customStyle="1" w:styleId="TitleChar">
    <w:name w:val="Title Char"/>
    <w:basedOn w:val="DefaultParagraphFont"/>
    <w:link w:val="Title"/>
    <w:uiPriority w:val="10"/>
    <w:rsid w:val="00547D56"/>
    <w:rPr>
      <w:rFonts w:asciiTheme="majorHAnsi" w:eastAsiaTheme="majorEastAsia" w:hAnsiTheme="majorHAnsi" w:cstheme="majorBidi"/>
      <w:caps/>
      <w:color w:val="648C30" w:themeColor="accent2" w:themeShade="BF"/>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ListParagraph">
    <w:name w:val="List Paragraph"/>
    <w:basedOn w:val="Normal"/>
    <w:uiPriority w:val="34"/>
    <w:qFormat/>
    <w:rsid w:val="0026645B"/>
    <w:pPr>
      <w:spacing w:after="160" w:line="259" w:lineRule="auto"/>
      <w:ind w:left="720"/>
      <w:contextualSpacing/>
    </w:pPr>
    <w:rPr>
      <w:color w:val="auto"/>
      <w:sz w:val="22"/>
      <w:szCs w:val="22"/>
      <w:lang w:val="en-AU" w:eastAsia="en-US"/>
    </w:rPr>
  </w:style>
  <w:style w:type="character" w:styleId="Hyperlink">
    <w:name w:val="Hyperlink"/>
    <w:basedOn w:val="DefaultParagraphFont"/>
    <w:uiPriority w:val="99"/>
    <w:unhideWhenUsed/>
    <w:rsid w:val="005B3291"/>
    <w:rPr>
      <w:color w:val="40ACD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diagramLayout" Target="diagrams/layout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header" Target="header1.xml"/><Relationship Id="rId6" Type="http://schemas.microsoft.com/office/2007/relationships/diagramDrawing" Target="diagrams/drawing1.xml"/><Relationship Id="rId5" Type="http://schemas.openxmlformats.org/officeDocument/2006/relationships/customXml" Target="../customXml/item2.xml"/><Relationship Id="rId15" Type="http://schemas.openxmlformats.org/officeDocument/2006/relationships/customXml" Target="../customXml/item3.xml"/><Relationship Id="rId10" Type="http://schemas.openxmlformats.org/officeDocument/2006/relationships/diagramColors" Target="diagrams/colors1.xml"/><Relationship Id="rId14"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diagramQuickStyle" Target="diagrams/quickStyle1.xml"/></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amue\AppData\Roaming\Microsoft\Templates\Project%20scope%20report%20(Business%20Blue%20design).dotx" TargetMode="External"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76C97-271E-084D-9CCA-0B1746A55DC2}" type="doc">
      <dgm:prSet loTypeId="urn:microsoft.com/office/officeart/2005/8/layout/cycle1" qsTypeId="urn:microsoft.com/office/officeart/2005/8/quickstyle/simple2" qsCatId="simple" csTypeId="urn:microsoft.com/office/officeart/2005/8/colors/accent0_2" csCatId="mainScheme" phldr="1"/>
      <dgm:spPr/>
      <dgm:t>
        <a:bodyPr/>
        <a:lstStyle/>
        <a:p>
          <a:endParaRPr lang="en-US"/>
        </a:p>
      </dgm:t>
    </dgm:pt>
    <dgm:pt modelId="{220DD051-1C2E-6F48-AC26-B45EB41D2CC0}">
      <dgm:prSet phldrT="[Text]"/>
      <dgm:spPr/>
      <dgm:t>
        <a:bodyPr/>
        <a:lstStyle/>
        <a:p>
          <a:r>
            <a:rPr lang="en-US" dirty="0">
              <a:solidFill>
                <a:schemeClr val="tx1"/>
              </a:solidFill>
            </a:rPr>
            <a:t>1. Source documents identified and </a:t>
          </a:r>
          <a:r>
            <a:rPr lang="en-US" dirty="0" err="1">
              <a:solidFill>
                <a:schemeClr val="tx1"/>
              </a:solidFill>
            </a:rPr>
            <a:t>analysed</a:t>
          </a:r>
          <a:endParaRPr lang="en-US" dirty="0">
            <a:solidFill>
              <a:schemeClr val="tx1"/>
            </a:solidFill>
          </a:endParaRPr>
        </a:p>
      </dgm:t>
    </dgm:pt>
    <dgm:pt modelId="{A8BB8174-78A1-DC4B-84A6-C2387CE6F37B}" type="parTrans" cxnId="{7B7A9B2D-67EE-CA42-97C4-AAEED2787810}">
      <dgm:prSet/>
      <dgm:spPr/>
      <dgm:t>
        <a:bodyPr/>
        <a:lstStyle/>
        <a:p>
          <a:endParaRPr lang="en-US">
            <a:solidFill>
              <a:schemeClr val="tx1"/>
            </a:solidFill>
          </a:endParaRPr>
        </a:p>
      </dgm:t>
    </dgm:pt>
    <dgm:pt modelId="{62ECDA57-50DD-E84E-9170-30E8A3470659}" type="sibTrans" cxnId="{7B7A9B2D-67EE-CA42-97C4-AAEED2787810}">
      <dgm:prSet/>
      <dgm:spPr/>
      <dgm:t>
        <a:bodyPr/>
        <a:lstStyle/>
        <a:p>
          <a:endParaRPr lang="en-US">
            <a:solidFill>
              <a:schemeClr val="tx1"/>
            </a:solidFill>
          </a:endParaRPr>
        </a:p>
      </dgm:t>
    </dgm:pt>
    <dgm:pt modelId="{BA1706D3-5E3F-E247-AB95-FECC47F63276}">
      <dgm:prSet/>
      <dgm:spPr/>
      <dgm:t>
        <a:bodyPr/>
        <a:lstStyle/>
        <a:p>
          <a:r>
            <a:rPr lang="en-US">
              <a:solidFill>
                <a:schemeClr val="tx1"/>
              </a:solidFill>
            </a:rPr>
            <a:t>2. Transactions recorded in  appropriate ledgers</a:t>
          </a:r>
          <a:endParaRPr lang="en-US" dirty="0">
            <a:solidFill>
              <a:schemeClr val="tx1"/>
            </a:solidFill>
          </a:endParaRPr>
        </a:p>
      </dgm:t>
    </dgm:pt>
    <dgm:pt modelId="{08925AD2-3909-9647-B1FB-9891A3628D63}" type="parTrans" cxnId="{5D930F7D-0978-8443-A2A9-889D43FE82B2}">
      <dgm:prSet/>
      <dgm:spPr/>
      <dgm:t>
        <a:bodyPr/>
        <a:lstStyle/>
        <a:p>
          <a:endParaRPr lang="en-US">
            <a:solidFill>
              <a:schemeClr val="tx1"/>
            </a:solidFill>
          </a:endParaRPr>
        </a:p>
      </dgm:t>
    </dgm:pt>
    <dgm:pt modelId="{BAEE7A33-5931-944E-90EA-872DF118D2BB}" type="sibTrans" cxnId="{5D930F7D-0978-8443-A2A9-889D43FE82B2}">
      <dgm:prSet/>
      <dgm:spPr/>
      <dgm:t>
        <a:bodyPr/>
        <a:lstStyle/>
        <a:p>
          <a:endParaRPr lang="en-US">
            <a:solidFill>
              <a:schemeClr val="tx1"/>
            </a:solidFill>
          </a:endParaRPr>
        </a:p>
      </dgm:t>
    </dgm:pt>
    <dgm:pt modelId="{23BAD77A-AA6B-E248-A7B5-D8DF02B78526}">
      <dgm:prSet/>
      <dgm:spPr/>
      <dgm:t>
        <a:bodyPr/>
        <a:lstStyle/>
        <a:p>
          <a:r>
            <a:rPr lang="en-US">
              <a:solidFill>
                <a:schemeClr val="tx1"/>
              </a:solidFill>
            </a:rPr>
            <a:t>3. Journal entries posted to the general ledger </a:t>
          </a:r>
          <a:endParaRPr lang="en-US" dirty="0">
            <a:solidFill>
              <a:schemeClr val="tx1"/>
            </a:solidFill>
          </a:endParaRPr>
        </a:p>
      </dgm:t>
    </dgm:pt>
    <dgm:pt modelId="{564B1AD7-7747-9144-834D-5EEE7D57C6DA}" type="parTrans" cxnId="{7DFD23FA-3D09-C94D-8662-7E0C8A960907}">
      <dgm:prSet/>
      <dgm:spPr/>
      <dgm:t>
        <a:bodyPr/>
        <a:lstStyle/>
        <a:p>
          <a:endParaRPr lang="en-US">
            <a:solidFill>
              <a:schemeClr val="tx1"/>
            </a:solidFill>
          </a:endParaRPr>
        </a:p>
      </dgm:t>
    </dgm:pt>
    <dgm:pt modelId="{4D9029C7-06F2-3042-B6C2-6E4E0297140D}" type="sibTrans" cxnId="{7DFD23FA-3D09-C94D-8662-7E0C8A960907}">
      <dgm:prSet/>
      <dgm:spPr/>
      <dgm:t>
        <a:bodyPr/>
        <a:lstStyle/>
        <a:p>
          <a:endParaRPr lang="en-US">
            <a:solidFill>
              <a:schemeClr val="tx1"/>
            </a:solidFill>
          </a:endParaRPr>
        </a:p>
      </dgm:t>
    </dgm:pt>
    <dgm:pt modelId="{E26FE6FF-6A94-F54C-B3DA-863E4659AA69}">
      <dgm:prSet/>
      <dgm:spPr/>
      <dgm:t>
        <a:bodyPr/>
        <a:lstStyle/>
        <a:p>
          <a:r>
            <a:rPr lang="en-US">
              <a:solidFill>
                <a:schemeClr val="tx1"/>
              </a:solidFill>
            </a:rPr>
            <a:t>4. Trial balance prepared</a:t>
          </a:r>
          <a:endParaRPr lang="en-US" dirty="0">
            <a:solidFill>
              <a:schemeClr val="tx1"/>
            </a:solidFill>
          </a:endParaRPr>
        </a:p>
      </dgm:t>
    </dgm:pt>
    <dgm:pt modelId="{D546FE15-0EE3-B14E-A785-14C0530EC280}" type="parTrans" cxnId="{06566267-2A98-F948-ACC5-CE9893B555BA}">
      <dgm:prSet/>
      <dgm:spPr/>
      <dgm:t>
        <a:bodyPr/>
        <a:lstStyle/>
        <a:p>
          <a:endParaRPr lang="en-US">
            <a:solidFill>
              <a:schemeClr val="tx1"/>
            </a:solidFill>
          </a:endParaRPr>
        </a:p>
      </dgm:t>
    </dgm:pt>
    <dgm:pt modelId="{66D491BA-B2C1-D541-8614-9D8DA2DC2B8F}" type="sibTrans" cxnId="{06566267-2A98-F948-ACC5-CE9893B555BA}">
      <dgm:prSet/>
      <dgm:spPr/>
      <dgm:t>
        <a:bodyPr/>
        <a:lstStyle/>
        <a:p>
          <a:endParaRPr lang="en-US">
            <a:solidFill>
              <a:schemeClr val="tx1"/>
            </a:solidFill>
          </a:endParaRPr>
        </a:p>
      </dgm:t>
    </dgm:pt>
    <dgm:pt modelId="{BDF285D1-D529-7D48-8FCB-D0654CF7B7AE}">
      <dgm:prSet/>
      <dgm:spPr/>
      <dgm:t>
        <a:bodyPr/>
        <a:lstStyle/>
        <a:p>
          <a:r>
            <a:rPr lang="en-US" dirty="0">
              <a:solidFill>
                <a:schemeClr val="tx1"/>
              </a:solidFill>
            </a:rPr>
            <a:t>5. Profit and loss statement and balance sheet</a:t>
          </a:r>
        </a:p>
      </dgm:t>
    </dgm:pt>
    <dgm:pt modelId="{A730E331-BE08-0548-B3E8-EE8FB4C9C9B5}" type="parTrans" cxnId="{4CA4A3F5-0BEF-8340-8917-EFFF1D44B9E1}">
      <dgm:prSet/>
      <dgm:spPr/>
      <dgm:t>
        <a:bodyPr/>
        <a:lstStyle/>
        <a:p>
          <a:endParaRPr lang="en-US">
            <a:solidFill>
              <a:schemeClr val="tx1"/>
            </a:solidFill>
          </a:endParaRPr>
        </a:p>
      </dgm:t>
    </dgm:pt>
    <dgm:pt modelId="{FC2C3873-280E-BA49-A629-1754EF9A1628}" type="sibTrans" cxnId="{4CA4A3F5-0BEF-8340-8917-EFFF1D44B9E1}">
      <dgm:prSet/>
      <dgm:spPr/>
      <dgm:t>
        <a:bodyPr/>
        <a:lstStyle/>
        <a:p>
          <a:endParaRPr lang="en-US">
            <a:solidFill>
              <a:schemeClr val="tx1"/>
            </a:solidFill>
          </a:endParaRPr>
        </a:p>
      </dgm:t>
    </dgm:pt>
    <dgm:pt modelId="{9566181F-3528-F34C-A26A-C49AC21C1D34}">
      <dgm:prSet/>
      <dgm:spPr/>
      <dgm:t>
        <a:bodyPr/>
        <a:lstStyle/>
        <a:p>
          <a:r>
            <a:rPr lang="en-US" dirty="0">
              <a:solidFill>
                <a:schemeClr val="tx1"/>
              </a:solidFill>
            </a:rPr>
            <a:t>6. Cash flow forecasting and other relevant reports</a:t>
          </a:r>
        </a:p>
      </dgm:t>
    </dgm:pt>
    <dgm:pt modelId="{E466705A-F361-B448-9C8B-F737D6278680}" type="parTrans" cxnId="{E54512EE-92A4-1D4B-9C65-8773BA4D2D72}">
      <dgm:prSet/>
      <dgm:spPr/>
      <dgm:t>
        <a:bodyPr/>
        <a:lstStyle/>
        <a:p>
          <a:endParaRPr lang="en-US">
            <a:solidFill>
              <a:schemeClr val="tx1"/>
            </a:solidFill>
          </a:endParaRPr>
        </a:p>
      </dgm:t>
    </dgm:pt>
    <dgm:pt modelId="{0C660431-790F-1145-8A76-FF53DFE2013B}" type="sibTrans" cxnId="{E54512EE-92A4-1D4B-9C65-8773BA4D2D72}">
      <dgm:prSet/>
      <dgm:spPr/>
      <dgm:t>
        <a:bodyPr/>
        <a:lstStyle/>
        <a:p>
          <a:endParaRPr lang="en-US">
            <a:solidFill>
              <a:schemeClr val="tx1"/>
            </a:solidFill>
          </a:endParaRPr>
        </a:p>
      </dgm:t>
    </dgm:pt>
    <dgm:pt modelId="{F4A89920-0EB9-1D4B-8FC0-9A558EB83E72}" type="pres">
      <dgm:prSet presAssocID="{2D676C97-271E-084D-9CCA-0B1746A55DC2}" presName="cycle" presStyleCnt="0">
        <dgm:presLayoutVars>
          <dgm:dir val="norm"/>
          <dgm:resizeHandles val="exact"/>
        </dgm:presLayoutVars>
      </dgm:prSet>
      <dgm:spPr/>
    </dgm:pt>
    <dgm:pt modelId="{4065BEF7-43F8-2646-8A9C-73E62096B1C4}" type="pres">
      <dgm:prSet presAssocID="{220DD051-1C2E-6F48-AC26-B45EB41D2CC0}" presName="dummy" presStyleCnt="0"/>
      <dgm:spPr/>
    </dgm:pt>
    <dgm:pt modelId="{83C7D53C-CCB2-B44B-958B-A83F9574EBA7}" type="pres">
      <dgm:prSet presAssocID="{220DD051-1C2E-6F48-AC26-B45EB41D2CC0}" presName="node" presStyleLbl="revTx" presStyleIdx="0" presStyleCnt="6">
        <dgm:presLayoutVars>
          <dgm:bulletEnabled val="1"/>
        </dgm:presLayoutVars>
      </dgm:prSet>
      <dgm:spPr/>
    </dgm:pt>
    <dgm:pt modelId="{9334FEE6-233A-C844-863C-5000680B007A}" type="pres">
      <dgm:prSet presAssocID="{62ECDA57-50DD-E84E-9170-30E8A3470659}" presName="sibTrans" presStyleLbl="node1" presStyleIdx="0" presStyleCnt="6"/>
      <dgm:spPr/>
    </dgm:pt>
    <dgm:pt modelId="{B642FADF-FE0D-264D-9CDE-44000E729E7E}" type="pres">
      <dgm:prSet presAssocID="{BA1706D3-5E3F-E247-AB95-FECC47F63276}" presName="dummy" presStyleCnt="0"/>
      <dgm:spPr/>
    </dgm:pt>
    <dgm:pt modelId="{4A23E503-45C4-304A-98CE-B42071A643E2}" type="pres">
      <dgm:prSet presAssocID="{BA1706D3-5E3F-E247-AB95-FECC47F63276}" presName="node" presStyleLbl="revTx" presStyleIdx="1" presStyleCnt="6">
        <dgm:presLayoutVars>
          <dgm:bulletEnabled val="1"/>
        </dgm:presLayoutVars>
      </dgm:prSet>
      <dgm:spPr/>
    </dgm:pt>
    <dgm:pt modelId="{4BD5564C-EBF4-C746-BA00-DFFDB33016A5}" type="pres">
      <dgm:prSet presAssocID="{BAEE7A33-5931-944E-90EA-872DF118D2BB}" presName="sibTrans" presStyleLbl="node1" presStyleIdx="1" presStyleCnt="6"/>
      <dgm:spPr/>
    </dgm:pt>
    <dgm:pt modelId="{AA06E949-3E35-D842-A487-A539AB56933D}" type="pres">
      <dgm:prSet presAssocID="{23BAD77A-AA6B-E248-A7B5-D8DF02B78526}" presName="dummy" presStyleCnt="0"/>
      <dgm:spPr/>
    </dgm:pt>
    <dgm:pt modelId="{AB5D2DEA-09B9-0948-84C4-E8FC96F70313}" type="pres">
      <dgm:prSet presAssocID="{23BAD77A-AA6B-E248-A7B5-D8DF02B78526}" presName="node" presStyleLbl="revTx" presStyleIdx="2" presStyleCnt="6" custRadScaleRad="102919" custRadScaleInc="-10573">
        <dgm:presLayoutVars>
          <dgm:bulletEnabled val="1"/>
        </dgm:presLayoutVars>
      </dgm:prSet>
      <dgm:spPr/>
    </dgm:pt>
    <dgm:pt modelId="{5B7A9A53-9D43-FD4C-9AB0-E1D36F60E913}" type="pres">
      <dgm:prSet presAssocID="{4D9029C7-06F2-3042-B6C2-6E4E0297140D}" presName="sibTrans" presStyleLbl="node1" presStyleIdx="2" presStyleCnt="6"/>
      <dgm:spPr/>
    </dgm:pt>
    <dgm:pt modelId="{4FD6610B-994B-2846-A916-5E4D775911A8}" type="pres">
      <dgm:prSet presAssocID="{E26FE6FF-6A94-F54C-B3DA-863E4659AA69}" presName="dummy" presStyleCnt="0"/>
      <dgm:spPr/>
    </dgm:pt>
    <dgm:pt modelId="{F06BE7A0-FBFA-2E46-87CE-9E48D2AE6BF7}" type="pres">
      <dgm:prSet presAssocID="{E26FE6FF-6A94-F54C-B3DA-863E4659AA69}" presName="node" presStyleLbl="revTx" presStyleIdx="3" presStyleCnt="6">
        <dgm:presLayoutVars>
          <dgm:bulletEnabled val="1"/>
        </dgm:presLayoutVars>
      </dgm:prSet>
      <dgm:spPr/>
    </dgm:pt>
    <dgm:pt modelId="{C0683B15-8B81-6B4B-9260-6EEE119C7764}" type="pres">
      <dgm:prSet presAssocID="{66D491BA-B2C1-D541-8614-9D8DA2DC2B8F}" presName="sibTrans" presStyleLbl="node1" presStyleIdx="3" presStyleCnt="6"/>
      <dgm:spPr/>
    </dgm:pt>
    <dgm:pt modelId="{E6A90C43-03D3-4047-B5F3-609CBCB06D67}" type="pres">
      <dgm:prSet presAssocID="{BDF285D1-D529-7D48-8FCB-D0654CF7B7AE}" presName="dummy" presStyleCnt="0"/>
      <dgm:spPr/>
    </dgm:pt>
    <dgm:pt modelId="{867144EB-4AF3-9B4B-A0CE-384AADF3B9E2}" type="pres">
      <dgm:prSet presAssocID="{BDF285D1-D529-7D48-8FCB-D0654CF7B7AE}" presName="node" presStyleLbl="revTx" presStyleIdx="4" presStyleCnt="6">
        <dgm:presLayoutVars>
          <dgm:bulletEnabled val="1"/>
        </dgm:presLayoutVars>
      </dgm:prSet>
      <dgm:spPr/>
    </dgm:pt>
    <dgm:pt modelId="{C5EDCE59-47FF-A64B-8594-764792FE68A8}" type="pres">
      <dgm:prSet presAssocID="{FC2C3873-280E-BA49-A629-1754EF9A1628}" presName="sibTrans" presStyleLbl="node1" presStyleIdx="4" presStyleCnt="6"/>
      <dgm:spPr/>
    </dgm:pt>
    <dgm:pt modelId="{8397139D-3D29-3448-98CA-2A966E84B691}" type="pres">
      <dgm:prSet presAssocID="{9566181F-3528-F34C-A26A-C49AC21C1D34}" presName="dummy" presStyleCnt="0"/>
      <dgm:spPr/>
    </dgm:pt>
    <dgm:pt modelId="{6EF1E153-3976-3547-BC27-FB6AF4015D64}" type="pres">
      <dgm:prSet presAssocID="{9566181F-3528-F34C-A26A-C49AC21C1D34}" presName="node" presStyleLbl="revTx" presStyleIdx="5" presStyleCnt="6">
        <dgm:presLayoutVars>
          <dgm:bulletEnabled val="1"/>
        </dgm:presLayoutVars>
      </dgm:prSet>
      <dgm:spPr/>
    </dgm:pt>
    <dgm:pt modelId="{C0EB43AD-48FD-D249-A758-89EF907DEDBA}" type="pres">
      <dgm:prSet presAssocID="{0C660431-790F-1145-8A76-FF53DFE2013B}" presName="sibTrans" presStyleLbl="node1" presStyleIdx="5" presStyleCnt="6"/>
      <dgm:spPr/>
    </dgm:pt>
  </dgm:ptLst>
  <dgm:cxnLst>
    <dgm:cxn modelId="{0FEA351D-EF19-44C3-B386-D3E655F100D8}" type="presOf" srcId="{BA1706D3-5E3F-E247-AB95-FECC47F63276}" destId="{4A23E503-45C4-304A-98CE-B42071A643E2}" srcOrd="0" destOrd="0" presId="urn:microsoft.com/office/officeart/2005/8/layout/cycle1"/>
    <dgm:cxn modelId="{1773AC1F-1266-42DD-9B84-DFCCDFDAFA72}" type="presOf" srcId="{62ECDA57-50DD-E84E-9170-30E8A3470659}" destId="{9334FEE6-233A-C844-863C-5000680B007A}" srcOrd="0" destOrd="0" presId="urn:microsoft.com/office/officeart/2005/8/layout/cycle1"/>
    <dgm:cxn modelId="{7B7A9B2D-67EE-CA42-97C4-AAEED2787810}" srcId="{2D676C97-271E-084D-9CCA-0B1746A55DC2}" destId="{220DD051-1C2E-6F48-AC26-B45EB41D2CC0}" srcOrd="0" destOrd="0" parTransId="{A8BB8174-78A1-DC4B-84A6-C2387CE6F37B}" sibTransId="{62ECDA57-50DD-E84E-9170-30E8A3470659}"/>
    <dgm:cxn modelId="{24543238-5C57-46A0-BDE2-15DB7DA94107}" type="presOf" srcId="{66D491BA-B2C1-D541-8614-9D8DA2DC2B8F}" destId="{C0683B15-8B81-6B4B-9260-6EEE119C7764}" srcOrd="0" destOrd="0" presId="urn:microsoft.com/office/officeart/2005/8/layout/cycle1"/>
    <dgm:cxn modelId="{C743675E-AD98-4371-AE8D-9EB32355B8FB}" type="presOf" srcId="{BDF285D1-D529-7D48-8FCB-D0654CF7B7AE}" destId="{867144EB-4AF3-9B4B-A0CE-384AADF3B9E2}" srcOrd="0" destOrd="0" presId="urn:microsoft.com/office/officeart/2005/8/layout/cycle1"/>
    <dgm:cxn modelId="{06566267-2A98-F948-ACC5-CE9893B555BA}" srcId="{2D676C97-271E-084D-9CCA-0B1746A55DC2}" destId="{E26FE6FF-6A94-F54C-B3DA-863E4659AA69}" srcOrd="3" destOrd="0" parTransId="{D546FE15-0EE3-B14E-A785-14C0530EC280}" sibTransId="{66D491BA-B2C1-D541-8614-9D8DA2DC2B8F}"/>
    <dgm:cxn modelId="{772A5076-E94B-47F8-B096-351EC69E6EBF}" type="presOf" srcId="{BAEE7A33-5931-944E-90EA-872DF118D2BB}" destId="{4BD5564C-EBF4-C746-BA00-DFFDB33016A5}" srcOrd="0" destOrd="0" presId="urn:microsoft.com/office/officeart/2005/8/layout/cycle1"/>
    <dgm:cxn modelId="{5D930F7D-0978-8443-A2A9-889D43FE82B2}" srcId="{2D676C97-271E-084D-9CCA-0B1746A55DC2}" destId="{BA1706D3-5E3F-E247-AB95-FECC47F63276}" srcOrd="1" destOrd="0" parTransId="{08925AD2-3909-9647-B1FB-9891A3628D63}" sibTransId="{BAEE7A33-5931-944E-90EA-872DF118D2BB}"/>
    <dgm:cxn modelId="{99E0E5B9-9E29-4F1B-A316-19AF88FDCABD}" type="presOf" srcId="{23BAD77A-AA6B-E248-A7B5-D8DF02B78526}" destId="{AB5D2DEA-09B9-0948-84C4-E8FC96F70313}" srcOrd="0" destOrd="0" presId="urn:microsoft.com/office/officeart/2005/8/layout/cycle1"/>
    <dgm:cxn modelId="{C056DFC8-82C7-42D3-8BB7-2086AC090202}" type="presOf" srcId="{9566181F-3528-F34C-A26A-C49AC21C1D34}" destId="{6EF1E153-3976-3547-BC27-FB6AF4015D64}" srcOrd="0" destOrd="0" presId="urn:microsoft.com/office/officeart/2005/8/layout/cycle1"/>
    <dgm:cxn modelId="{BBA78EC9-B8AA-4484-A8C6-ACF85439437E}" type="presOf" srcId="{4D9029C7-06F2-3042-B6C2-6E4E0297140D}" destId="{5B7A9A53-9D43-FD4C-9AB0-E1D36F60E913}" srcOrd="0" destOrd="0" presId="urn:microsoft.com/office/officeart/2005/8/layout/cycle1"/>
    <dgm:cxn modelId="{5F9A6ED3-054B-42F8-8643-E7275EFD518A}" type="presOf" srcId="{2D676C97-271E-084D-9CCA-0B1746A55DC2}" destId="{F4A89920-0EB9-1D4B-8FC0-9A558EB83E72}" srcOrd="0" destOrd="0" presId="urn:microsoft.com/office/officeart/2005/8/layout/cycle1"/>
    <dgm:cxn modelId="{9CD6C3D9-23F1-4671-BF96-AEF897A43959}" type="presOf" srcId="{E26FE6FF-6A94-F54C-B3DA-863E4659AA69}" destId="{F06BE7A0-FBFA-2E46-87CE-9E48D2AE6BF7}" srcOrd="0" destOrd="0" presId="urn:microsoft.com/office/officeart/2005/8/layout/cycle1"/>
    <dgm:cxn modelId="{BB0C91EC-F613-41A7-95CB-3DE81E61E4BE}" type="presOf" srcId="{FC2C3873-280E-BA49-A629-1754EF9A1628}" destId="{C5EDCE59-47FF-A64B-8594-764792FE68A8}" srcOrd="0" destOrd="0" presId="urn:microsoft.com/office/officeart/2005/8/layout/cycle1"/>
    <dgm:cxn modelId="{E54512EE-92A4-1D4B-9C65-8773BA4D2D72}" srcId="{2D676C97-271E-084D-9CCA-0B1746A55DC2}" destId="{9566181F-3528-F34C-A26A-C49AC21C1D34}" srcOrd="5" destOrd="0" parTransId="{E466705A-F361-B448-9C8B-F737D6278680}" sibTransId="{0C660431-790F-1145-8A76-FF53DFE2013B}"/>
    <dgm:cxn modelId="{4CA4A3F5-0BEF-8340-8917-EFFF1D44B9E1}" srcId="{2D676C97-271E-084D-9CCA-0B1746A55DC2}" destId="{BDF285D1-D529-7D48-8FCB-D0654CF7B7AE}" srcOrd="4" destOrd="0" parTransId="{A730E331-BE08-0548-B3E8-EE8FB4C9C9B5}" sibTransId="{FC2C3873-280E-BA49-A629-1754EF9A1628}"/>
    <dgm:cxn modelId="{D12509F6-5BE8-488D-84F5-0C7A32C6157F}" type="presOf" srcId="{0C660431-790F-1145-8A76-FF53DFE2013B}" destId="{C0EB43AD-48FD-D249-A758-89EF907DEDBA}" srcOrd="0" destOrd="0" presId="urn:microsoft.com/office/officeart/2005/8/layout/cycle1"/>
    <dgm:cxn modelId="{7DFD23FA-3D09-C94D-8662-7E0C8A960907}" srcId="{2D676C97-271E-084D-9CCA-0B1746A55DC2}" destId="{23BAD77A-AA6B-E248-A7B5-D8DF02B78526}" srcOrd="2" destOrd="0" parTransId="{564B1AD7-7747-9144-834D-5EEE7D57C6DA}" sibTransId="{4D9029C7-06F2-3042-B6C2-6E4E0297140D}"/>
    <dgm:cxn modelId="{A7E892FE-75E9-40B2-A405-601B0656CD7D}" type="presOf" srcId="{220DD051-1C2E-6F48-AC26-B45EB41D2CC0}" destId="{83C7D53C-CCB2-B44B-958B-A83F9574EBA7}" srcOrd="0" destOrd="0" presId="urn:microsoft.com/office/officeart/2005/8/layout/cycle1"/>
    <dgm:cxn modelId="{65B3EDF0-61DF-4B28-8687-DF4867EA20E0}" type="presParOf" srcId="{F4A89920-0EB9-1D4B-8FC0-9A558EB83E72}" destId="{4065BEF7-43F8-2646-8A9C-73E62096B1C4}" srcOrd="0" destOrd="0" presId="urn:microsoft.com/office/officeart/2005/8/layout/cycle1"/>
    <dgm:cxn modelId="{88E8E6AA-5C7A-42FE-8E13-1EC3B871CBD6}" type="presParOf" srcId="{F4A89920-0EB9-1D4B-8FC0-9A558EB83E72}" destId="{83C7D53C-CCB2-B44B-958B-A83F9574EBA7}" srcOrd="1" destOrd="0" presId="urn:microsoft.com/office/officeart/2005/8/layout/cycle1"/>
    <dgm:cxn modelId="{8393EF5D-AA89-4A12-8A6C-14B47390BB29}" type="presParOf" srcId="{F4A89920-0EB9-1D4B-8FC0-9A558EB83E72}" destId="{9334FEE6-233A-C844-863C-5000680B007A}" srcOrd="2" destOrd="0" presId="urn:microsoft.com/office/officeart/2005/8/layout/cycle1"/>
    <dgm:cxn modelId="{6CC3AC96-4432-4C8C-A25C-9D96D6313326}" type="presParOf" srcId="{F4A89920-0EB9-1D4B-8FC0-9A558EB83E72}" destId="{B642FADF-FE0D-264D-9CDE-44000E729E7E}" srcOrd="3" destOrd="0" presId="urn:microsoft.com/office/officeart/2005/8/layout/cycle1"/>
    <dgm:cxn modelId="{733FDB1B-D3C3-4F11-842C-1EF2FBB6D036}" type="presParOf" srcId="{F4A89920-0EB9-1D4B-8FC0-9A558EB83E72}" destId="{4A23E503-45C4-304A-98CE-B42071A643E2}" srcOrd="4" destOrd="0" presId="urn:microsoft.com/office/officeart/2005/8/layout/cycle1"/>
    <dgm:cxn modelId="{10402256-7E18-4A33-AC2E-3F61B22272B9}" type="presParOf" srcId="{F4A89920-0EB9-1D4B-8FC0-9A558EB83E72}" destId="{4BD5564C-EBF4-C746-BA00-DFFDB33016A5}" srcOrd="5" destOrd="0" presId="urn:microsoft.com/office/officeart/2005/8/layout/cycle1"/>
    <dgm:cxn modelId="{94484EF0-395C-42C1-81DE-480AB2580EDA}" type="presParOf" srcId="{F4A89920-0EB9-1D4B-8FC0-9A558EB83E72}" destId="{AA06E949-3E35-D842-A487-A539AB56933D}" srcOrd="6" destOrd="0" presId="urn:microsoft.com/office/officeart/2005/8/layout/cycle1"/>
    <dgm:cxn modelId="{D6570A54-5386-4749-A95E-7CEF7FB6101D}" type="presParOf" srcId="{F4A89920-0EB9-1D4B-8FC0-9A558EB83E72}" destId="{AB5D2DEA-09B9-0948-84C4-E8FC96F70313}" srcOrd="7" destOrd="0" presId="urn:microsoft.com/office/officeart/2005/8/layout/cycle1"/>
    <dgm:cxn modelId="{3963E7DB-0DFD-43BC-BD0D-CCF3F9BADBD4}" type="presParOf" srcId="{F4A89920-0EB9-1D4B-8FC0-9A558EB83E72}" destId="{5B7A9A53-9D43-FD4C-9AB0-E1D36F60E913}" srcOrd="8" destOrd="0" presId="urn:microsoft.com/office/officeart/2005/8/layout/cycle1"/>
    <dgm:cxn modelId="{BE27AC52-62D1-4D57-B30C-D2E21BAEF239}" type="presParOf" srcId="{F4A89920-0EB9-1D4B-8FC0-9A558EB83E72}" destId="{4FD6610B-994B-2846-A916-5E4D775911A8}" srcOrd="9" destOrd="0" presId="urn:microsoft.com/office/officeart/2005/8/layout/cycle1"/>
    <dgm:cxn modelId="{C4B8E757-38DE-4C38-8DD0-2FC9D6BD4DDE}" type="presParOf" srcId="{F4A89920-0EB9-1D4B-8FC0-9A558EB83E72}" destId="{F06BE7A0-FBFA-2E46-87CE-9E48D2AE6BF7}" srcOrd="10" destOrd="0" presId="urn:microsoft.com/office/officeart/2005/8/layout/cycle1"/>
    <dgm:cxn modelId="{B9EABFE5-DD11-494A-981C-5195E72352D9}" type="presParOf" srcId="{F4A89920-0EB9-1D4B-8FC0-9A558EB83E72}" destId="{C0683B15-8B81-6B4B-9260-6EEE119C7764}" srcOrd="11" destOrd="0" presId="urn:microsoft.com/office/officeart/2005/8/layout/cycle1"/>
    <dgm:cxn modelId="{4108487B-DBD4-4324-94FE-C5A8C70284C9}" type="presParOf" srcId="{F4A89920-0EB9-1D4B-8FC0-9A558EB83E72}" destId="{E6A90C43-03D3-4047-B5F3-609CBCB06D67}" srcOrd="12" destOrd="0" presId="urn:microsoft.com/office/officeart/2005/8/layout/cycle1"/>
    <dgm:cxn modelId="{C7270554-99A7-4EC9-9062-B636AB59D1D5}" type="presParOf" srcId="{F4A89920-0EB9-1D4B-8FC0-9A558EB83E72}" destId="{867144EB-4AF3-9B4B-A0CE-384AADF3B9E2}" srcOrd="13" destOrd="0" presId="urn:microsoft.com/office/officeart/2005/8/layout/cycle1"/>
    <dgm:cxn modelId="{E6CB1267-055D-4A0B-8593-BD5AB4CF56E7}" type="presParOf" srcId="{F4A89920-0EB9-1D4B-8FC0-9A558EB83E72}" destId="{C5EDCE59-47FF-A64B-8594-764792FE68A8}" srcOrd="14" destOrd="0" presId="urn:microsoft.com/office/officeart/2005/8/layout/cycle1"/>
    <dgm:cxn modelId="{B8388A5D-8884-4DCA-80D4-02F69DDEAB95}" type="presParOf" srcId="{F4A89920-0EB9-1D4B-8FC0-9A558EB83E72}" destId="{8397139D-3D29-3448-98CA-2A966E84B691}" srcOrd="15" destOrd="0" presId="urn:microsoft.com/office/officeart/2005/8/layout/cycle1"/>
    <dgm:cxn modelId="{E5DCC602-1668-44D2-BFBC-296B3C4F3BEB}" type="presParOf" srcId="{F4A89920-0EB9-1D4B-8FC0-9A558EB83E72}" destId="{6EF1E153-3976-3547-BC27-FB6AF4015D64}" srcOrd="16" destOrd="0" presId="urn:microsoft.com/office/officeart/2005/8/layout/cycle1"/>
    <dgm:cxn modelId="{E02F82ED-7456-45BB-86B5-D9C75C638411}" type="presParOf" srcId="{F4A89920-0EB9-1D4B-8FC0-9A558EB83E72}" destId="{C0EB43AD-48FD-D249-A758-89EF907DEDBA}" srcOrd="17" destOrd="0" presId="urn:microsoft.com/office/officeart/2005/8/layout/cycle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C7D53C-CCB2-B44B-958B-A83F9574EBA7}">
      <dsp:nvSpPr>
        <dsp:cNvPr id="0" name=""/>
        <dsp:cNvSpPr/>
      </dsp:nvSpPr>
      <dsp:spPr>
        <a:xfrm>
          <a:off x="3565933" y="10209"/>
          <a:ext cx="805034" cy="80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en-US" sz="1000" kern="1200" dirty="0">
              <a:solidFill>
                <a:schemeClr val="tx1"/>
              </a:solidFill>
            </a:rPr>
            <a:t>1. Source documents identified and </a:t>
          </a:r>
          <a:r>
            <a:rPr lang="en-US" sz="1000" kern="1200" dirty="0" err="1">
              <a:solidFill>
                <a:schemeClr val="tx1"/>
              </a:solidFill>
            </a:rPr>
            <a:t>analysed</a:t>
          </a:r>
          <a:endParaRPr lang="en-US" sz="1000" kern="1200" dirty="0">
            <a:solidFill>
              <a:schemeClr val="tx1"/>
            </a:solidFill>
          </a:endParaRPr>
        </a:p>
      </dsp:txBody>
      <dsp:txXfrm>
        <a:off x="3565933" y="10209"/>
        <a:ext cx="805034" cy="805034"/>
      </dsp:txXfrm>
    </dsp:sp>
    <dsp:sp modelId="{9334FEE6-233A-C844-863C-5000680B007A}">
      <dsp:nvSpPr>
        <dsp:cNvPr id="0" name=""/>
        <dsp:cNvSpPr/>
      </dsp:nvSpPr>
      <dsp:spPr>
        <a:xfrm>
          <a:off x="1103709" y="1984"/>
          <a:ext cx="3933031" cy="3933031"/>
        </a:xfrm>
        <a:prstGeom prst="circularArrow">
          <a:avLst>
            <a:gd name="adj1" fmla="val 3991"/>
            <a:gd name="adj2" fmla="val 250393"/>
            <a:gd name="adj3" fmla="val 20572742"/>
            <a:gd name="adj4" fmla="val 18983454"/>
            <a:gd name="adj5" fmla="val 4657"/>
          </a:avLst>
        </a:prstGeom>
        <a:solidFill>
          <a:schemeClr val="lt1">
            <a:hueOff val="0"/>
            <a:satOff val="0"/>
            <a:lumOff val="0"/>
            <a:alphaOff val="0"/>
          </a:schemeClr>
        </a:solidFill>
        <a:ln w="19050">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A23E503-45C4-304A-98CE-B42071A643E2}">
      <dsp:nvSpPr>
        <dsp:cNvPr id="0" name=""/>
        <dsp:cNvSpPr/>
      </dsp:nvSpPr>
      <dsp:spPr>
        <a:xfrm>
          <a:off x="4464160" y="1565982"/>
          <a:ext cx="805034" cy="80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en-US" sz="1000" kern="1200">
              <a:solidFill>
                <a:schemeClr val="tx1"/>
              </a:solidFill>
            </a:rPr>
            <a:t>2. Transactions recorded in  appropriate ledgers</a:t>
          </a:r>
          <a:endParaRPr lang="en-US" sz="1000" kern="1200" dirty="0">
            <a:solidFill>
              <a:schemeClr val="tx1"/>
            </a:solidFill>
          </a:endParaRPr>
        </a:p>
      </dsp:txBody>
      <dsp:txXfrm>
        <a:off x="4464160" y="1565982"/>
        <a:ext cx="805034" cy="805034"/>
      </dsp:txXfrm>
    </dsp:sp>
    <dsp:sp modelId="{4BD5564C-EBF4-C746-BA00-DFFDB33016A5}">
      <dsp:nvSpPr>
        <dsp:cNvPr id="0" name=""/>
        <dsp:cNvSpPr/>
      </dsp:nvSpPr>
      <dsp:spPr>
        <a:xfrm>
          <a:off x="1082527" y="108861"/>
          <a:ext cx="3933031" cy="3933031"/>
        </a:xfrm>
        <a:prstGeom prst="circularArrow">
          <a:avLst>
            <a:gd name="adj1" fmla="val 3991"/>
            <a:gd name="adj2" fmla="val 250393"/>
            <a:gd name="adj3" fmla="val 2057523"/>
            <a:gd name="adj4" fmla="val 568331"/>
            <a:gd name="adj5" fmla="val 4657"/>
          </a:avLst>
        </a:prstGeom>
        <a:solidFill>
          <a:schemeClr val="lt1">
            <a:hueOff val="0"/>
            <a:satOff val="0"/>
            <a:lumOff val="0"/>
            <a:alphaOff val="0"/>
          </a:schemeClr>
        </a:solidFill>
        <a:ln w="19050">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B5D2DEA-09B9-0948-84C4-E8FC96F70313}">
      <dsp:nvSpPr>
        <dsp:cNvPr id="0" name=""/>
        <dsp:cNvSpPr/>
      </dsp:nvSpPr>
      <dsp:spPr>
        <a:xfrm>
          <a:off x="3650604" y="3131965"/>
          <a:ext cx="805034" cy="80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en-US" sz="1000" kern="1200">
              <a:solidFill>
                <a:schemeClr val="tx1"/>
              </a:solidFill>
            </a:rPr>
            <a:t>3. Journal entries posted to the general ledger </a:t>
          </a:r>
          <a:endParaRPr lang="en-US" sz="1000" kern="1200" dirty="0">
            <a:solidFill>
              <a:schemeClr val="tx1"/>
            </a:solidFill>
          </a:endParaRPr>
        </a:p>
      </dsp:txBody>
      <dsp:txXfrm>
        <a:off x="3650604" y="3131965"/>
        <a:ext cx="805034" cy="805034"/>
      </dsp:txXfrm>
    </dsp:sp>
    <dsp:sp modelId="{5B7A9A53-9D43-FD4C-9AB0-E1D36F60E913}">
      <dsp:nvSpPr>
        <dsp:cNvPr id="0" name=""/>
        <dsp:cNvSpPr/>
      </dsp:nvSpPr>
      <dsp:spPr>
        <a:xfrm>
          <a:off x="1191783" y="29738"/>
          <a:ext cx="3933031" cy="3933031"/>
        </a:xfrm>
        <a:prstGeom prst="circularArrow">
          <a:avLst>
            <a:gd name="adj1" fmla="val 3991"/>
            <a:gd name="adj2" fmla="val 250393"/>
            <a:gd name="adj3" fmla="val 6287413"/>
            <a:gd name="adj4" fmla="val 4445701"/>
            <a:gd name="adj5" fmla="val 4657"/>
          </a:avLst>
        </a:prstGeom>
        <a:solidFill>
          <a:schemeClr val="lt1">
            <a:hueOff val="0"/>
            <a:satOff val="0"/>
            <a:lumOff val="0"/>
            <a:alphaOff val="0"/>
          </a:schemeClr>
        </a:solidFill>
        <a:ln w="19050">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06BE7A0-FBFA-2E46-87CE-9E48D2AE6BF7}">
      <dsp:nvSpPr>
        <dsp:cNvPr id="0" name=""/>
        <dsp:cNvSpPr/>
      </dsp:nvSpPr>
      <dsp:spPr>
        <a:xfrm>
          <a:off x="1769481" y="3121756"/>
          <a:ext cx="805034" cy="80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en-US" sz="1000" kern="1200">
              <a:solidFill>
                <a:schemeClr val="tx1"/>
              </a:solidFill>
            </a:rPr>
            <a:t>4. Trial balance prepared</a:t>
          </a:r>
          <a:endParaRPr lang="en-US" sz="1000" kern="1200" dirty="0">
            <a:solidFill>
              <a:schemeClr val="tx1"/>
            </a:solidFill>
          </a:endParaRPr>
        </a:p>
      </dsp:txBody>
      <dsp:txXfrm>
        <a:off x="1769481" y="3121756"/>
        <a:ext cx="805034" cy="805034"/>
      </dsp:txXfrm>
    </dsp:sp>
    <dsp:sp modelId="{C0683B15-8B81-6B4B-9260-6EEE119C7764}">
      <dsp:nvSpPr>
        <dsp:cNvPr id="0" name=""/>
        <dsp:cNvSpPr/>
      </dsp:nvSpPr>
      <dsp:spPr>
        <a:xfrm>
          <a:off x="1103709" y="1984"/>
          <a:ext cx="3933031" cy="3933031"/>
        </a:xfrm>
        <a:prstGeom prst="circularArrow">
          <a:avLst>
            <a:gd name="adj1" fmla="val 3991"/>
            <a:gd name="adj2" fmla="val 250393"/>
            <a:gd name="adj3" fmla="val 9772742"/>
            <a:gd name="adj4" fmla="val 8183454"/>
            <a:gd name="adj5" fmla="val 4657"/>
          </a:avLst>
        </a:prstGeom>
        <a:solidFill>
          <a:schemeClr val="lt1">
            <a:hueOff val="0"/>
            <a:satOff val="0"/>
            <a:lumOff val="0"/>
            <a:alphaOff val="0"/>
          </a:schemeClr>
        </a:solidFill>
        <a:ln w="19050">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67144EB-4AF3-9B4B-A0CE-384AADF3B9E2}">
      <dsp:nvSpPr>
        <dsp:cNvPr id="0" name=""/>
        <dsp:cNvSpPr/>
      </dsp:nvSpPr>
      <dsp:spPr>
        <a:xfrm>
          <a:off x="871255" y="1565982"/>
          <a:ext cx="805034" cy="80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en-US" sz="1000" kern="1200" dirty="0">
              <a:solidFill>
                <a:schemeClr val="tx1"/>
              </a:solidFill>
            </a:rPr>
            <a:t>5. Profit and loss statement and balance sheet</a:t>
          </a:r>
        </a:p>
      </dsp:txBody>
      <dsp:txXfrm>
        <a:off x="871255" y="1565982"/>
        <a:ext cx="805034" cy="805034"/>
      </dsp:txXfrm>
    </dsp:sp>
    <dsp:sp modelId="{C5EDCE59-47FF-A64B-8594-764792FE68A8}">
      <dsp:nvSpPr>
        <dsp:cNvPr id="0" name=""/>
        <dsp:cNvSpPr/>
      </dsp:nvSpPr>
      <dsp:spPr>
        <a:xfrm>
          <a:off x="1103709" y="1984"/>
          <a:ext cx="3933031" cy="3933031"/>
        </a:xfrm>
        <a:prstGeom prst="circularArrow">
          <a:avLst>
            <a:gd name="adj1" fmla="val 3991"/>
            <a:gd name="adj2" fmla="val 250393"/>
            <a:gd name="adj3" fmla="val 13166153"/>
            <a:gd name="adj4" fmla="val 11576865"/>
            <a:gd name="adj5" fmla="val 4657"/>
          </a:avLst>
        </a:prstGeom>
        <a:solidFill>
          <a:schemeClr val="lt1">
            <a:hueOff val="0"/>
            <a:satOff val="0"/>
            <a:lumOff val="0"/>
            <a:alphaOff val="0"/>
          </a:schemeClr>
        </a:solidFill>
        <a:ln w="19050">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EF1E153-3976-3547-BC27-FB6AF4015D64}">
      <dsp:nvSpPr>
        <dsp:cNvPr id="0" name=""/>
        <dsp:cNvSpPr/>
      </dsp:nvSpPr>
      <dsp:spPr>
        <a:xfrm>
          <a:off x="1769481" y="10209"/>
          <a:ext cx="805034" cy="80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en-US" sz="1000" kern="1200" dirty="0">
              <a:solidFill>
                <a:schemeClr val="tx1"/>
              </a:solidFill>
            </a:rPr>
            <a:t>6. Cash flow forecasting and other relevant reports</a:t>
          </a:r>
        </a:p>
      </dsp:txBody>
      <dsp:txXfrm>
        <a:off x="1769481" y="10209"/>
        <a:ext cx="805034" cy="805034"/>
      </dsp:txXfrm>
    </dsp:sp>
    <dsp:sp modelId="{C0EB43AD-48FD-D249-A758-89EF907DEDBA}">
      <dsp:nvSpPr>
        <dsp:cNvPr id="0" name=""/>
        <dsp:cNvSpPr/>
      </dsp:nvSpPr>
      <dsp:spPr>
        <a:xfrm>
          <a:off x="1103709" y="1984"/>
          <a:ext cx="3933031" cy="3933031"/>
        </a:xfrm>
        <a:prstGeom prst="circularArrow">
          <a:avLst>
            <a:gd name="adj1" fmla="val 3991"/>
            <a:gd name="adj2" fmla="val 250393"/>
            <a:gd name="adj3" fmla="val 16910681"/>
            <a:gd name="adj4" fmla="val 15238926"/>
            <a:gd name="adj5" fmla="val 4657"/>
          </a:avLst>
        </a:prstGeom>
        <a:solidFill>
          <a:schemeClr val="lt1">
            <a:hueOff val="0"/>
            <a:satOff val="0"/>
            <a:lumOff val="0"/>
            <a:alphaOff val="0"/>
          </a:schemeClr>
        </a:solidFill>
        <a:ln w="19050">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val="norm"/>
      <dgm:resizeHandles val="exact"/>
    </dgm:varLst>
    <dgm:choose name="Name0">
      <dgm:if name="Name1" func="var" arg="dir" op="equ" val="norm">
        <dgm:alg type="cycle">
          <dgm:param type="spanAng" val="360"/>
          <dgm:param type="stAng" val="0"/>
        </dgm:alg>
      </dgm:if>
      <dgm:else name="Name2">
        <dgm:alg type="cycle">
          <dgm:param type="spanAng" val="-360"/>
          <dgm:param type="stAng" val="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arg="none"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arg="none" op="gt" val="1">
          <dgm:forEach name="Name11" axis="followSib" ptType="sibTrans" hideLastTrans="false" cnt="1">
            <dgm:layoutNode name="sibTrans" styleLbl="node1">
              <dgm:alg type="conn">
                <dgm:param type="begPts" val="radial"/>
                <dgm:param type="connRout" val="curve"/>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9E4B6-8E8C-47CB-911D-5FC9BF985D32}"/>
</file>

<file path=customXml/itemProps2.xml><?xml version="1.0" encoding="utf-8"?>
<ds:datastoreItem xmlns:ds="http://schemas.openxmlformats.org/officeDocument/2006/customXml" ds:itemID="{648E0278-1BCC-4188-AB77-E9D316DDBB87}">
  <ds:schemaRefs>
    <ds:schemaRef ds:uri="http://schemas.openxmlformats.org/officeDocument/2006/bibliography"/>
  </ds:schemaRefs>
</ds:datastoreItem>
</file>

<file path=customXml/itemProps3.xml><?xml version="1.0" encoding="utf-8"?>
<ds:datastoreItem xmlns:ds="http://schemas.openxmlformats.org/officeDocument/2006/customXml" ds:itemID="{C48DD8A9-BDCB-41C8-A667-4847D368CA7C}"/>
</file>

<file path=customXml/itemProps4.xml><?xml version="1.0" encoding="utf-8"?>
<ds:datastoreItem xmlns:ds="http://schemas.openxmlformats.org/officeDocument/2006/customXml" ds:itemID="{A16E1F81-F60B-4099-857E-CF5E3F48DEFA}"/>
</file>

<file path=docProps/app.xml><?xml version="1.0" encoding="utf-8"?>
<Properties xmlns="http://schemas.openxmlformats.org/officeDocument/2006/extended-properties" xmlns:vt="http://schemas.openxmlformats.org/officeDocument/2006/docPropsVTypes">
  <Template>C:\Users\samue\AppData\Roaming\Microsoft\Templates\Project scope report (Business Blue design).dotx</Template>
  <TotalTime>94</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Burmeister</dc:creator>
  <cp:lastModifiedBy>Jo Voight</cp:lastModifiedBy>
  <cp:revision>44</cp:revision>
  <dcterms:created xsi:type="dcterms:W3CDTF">2021-10-07T02:57:00Z</dcterms:created>
  <dcterms:modified xsi:type="dcterms:W3CDTF">2021-10-08T00:08:00Z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ContentTypeId">
    <vt:lpwstr>0x010100F93F0D34D402BD4BBB63F09A3C570345</vt:lpwstr>
  </property>
</Properties>
</file>